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DerivateV 2013 — Übergangsbestimmungen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07.09.2019 (konsolidierte Textfassung, kein amtliches Inkrafttretensdatum)</w:t>
      </w:r>
    </w:p>
    <w:p>
      <w:r>
        <w:t xml:space="preserve">(1) Die Derivateverordnung vom 6. Februar 2004 (BGBl. I S. 153) in der bis zum 21. Juli 2013 geltenden Fassung ist auf die am 21. Juli 2013 bestehenden AIF-Kapitalverwaltungsgesellschaften und AIF weiterhin anzuwenden, solange für diese nach den Übergangsvorschriften der §§ 345 bis 350 des Kapitalanlagegesetzbuches weiterhin die Vorschriften des Investmentgesetzes anwendbar sind.</w:t>
      </w:r>
    </w:p>
    <w:p>
      <w:r>
        <w:t xml:space="preserve">(2) Auf die am 6. September 2019 bestehenden Investmentvermögen kann § 24 Absatz 2 in seiner bis zum 5. September 2019 geltenden Fassung noch bis zum 5. Juni 2020 angewendet werden.</w:t>
      </w:r>
    </w:p>
    <w:p>
      <w:r>
        <w:rPr>
          <w:color w:val="555555"/>
          <w:sz w:val="17"/>
        </w:rPr>
        <w:t xml:space="preserve">Zitiervorschlag: § 40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