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DerivateV 2013 — Interessenkonflikte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Kapitalverwaltungsgesellschaft hat insbesondere für Geschäfte, bei denen Interessenkonflikte nicht auszuschließen sind, zum Beispiel Geschäfte mit dem Mutter-, Schwester- oder Tochterunternehmen, durch ein angemessenes Kontrollverfahren sicherzustellen, dass diese Geschäfte zu marktgerechten Konditionen abgeschlossen werden. Das festgelegte Kontrollverfahren ist von der Kapitalverwaltungsgesellschaft zu dokumentieren.</w:t>
      </w:r>
    </w:p>
    <w:p>
      <w:r>
        <w:t xml:space="preserve">(2) Der Prüfungsbericht gemäß den §§ 102, 121 Absatz 3 und § 136 Absatz 3 des Kapitalanlagegesetzbuches hat Angaben darüber zu enthalten, ob das festgelegte Kontrollverfahren angemessen und zweckdienlich ist.</w:t>
      </w:r>
    </w:p>
    <w:p>
      <w:r>
        <w:rPr>
          <w:color w:val="555555"/>
          <w:sz w:val="17"/>
        </w:rPr>
        <w:t xml:space="preserve">Zitiervorschlag: § 4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