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39 DerivateV 2013 — Anwendbarkeit</w:t>
      </w:r>
    </w:p>
    <w:p>
      <w:r>
        <w:rPr>
          <w:color w:val="555555"/>
          <w:sz w:val="18"/>
        </w:rPr>
        <w:t xml:space="preserve">Derivateverordnung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Vorschriften dieser Verordnung sind entsprechend anzuwenden</w:t>
      </w:r>
    </w:p>
    <w:p>
      <w:pPr>
        <w:ind w:left="420"/>
      </w:pPr>
      <w:r>
        <w:t xml:space="preserve">1. auf die Tätigkeit einer EU-OGAW-Verwaltungsgesellschaft, die inländische OGAW verwaltet, und</w:t>
      </w:r>
    </w:p>
    <w:p>
      <w:pPr>
        <w:ind w:left="420"/>
      </w:pPr>
      <w:r>
        <w:t xml:space="preserve">2. auf die Tätigkeit einer EU-AIF-Verwaltungsgesellschaft, die inländische offene Spezial-AIF mit festen Anlagebedingungen verwaltet.</w:t>
      </w:r>
    </w:p>
    <w:p>
      <w:r>
        <w:rPr>
          <w:color w:val="555555"/>
          <w:sz w:val="17"/>
        </w:rPr>
        <w:t xml:space="preserve">Zitiervorschlag: § 39 DerivateV 2013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https://recht.nulegal.eu/gesetze/DerivateV%202013/39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