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DerivateV 2013 — Organisation</w:t>
      </w:r>
    </w:p>
    <w:p>
      <w:r>
        <w:rPr>
          <w:color w:val="555555"/>
          <w:sz w:val="18"/>
        </w:rPr>
        <w:t xml:space="preserve">Derivateverordnung</w:t>
      </w:r>
    </w:p>
    <w:p>
      <w:r>
        <w:rPr>
          <w:color w:val="555555"/>
          <w:sz w:val="18"/>
        </w:rPr>
        <w:t xml:space="preserve">Stand: 10.06.2019 (konsolidierte Textfassung, kein amtliches Inkrafttretensdatum)</w:t>
      </w:r>
    </w:p>
    <w:p>
      <w:r>
        <w:t xml:space="preserve">(1) Die Kapitalverwaltungsgesellschaft hat die Investition in strukturierte Produkte in einer Richtlinie zu regeln, die eine detaillierte Beschreibung der Arbeitsabläufe, Verantwortungsbereiche und Kontrollen enthält. Die Richtlinie ist regelmäßig zu aktualisieren. In der Richtlinie muss mindestens Folgendes näher bestimmt sein:</w:t>
      </w:r>
    </w:p>
    <w:p>
      <w:pPr>
        <w:ind w:left="420"/>
      </w:pPr>
      <w:r>
        <w:t xml:space="preserve">1. eine formalisierte Ordnungsmäßigkeitsprüfung vor Erwerb des Produktes, in der die Struktur und das vollständige Risikoprofil des Produktes analysiert und beurteilt werden;</w:t>
      </w:r>
    </w:p>
    <w:p>
      <w:pPr>
        <w:ind w:left="420"/>
      </w:pPr>
      <w:r>
        <w:t xml:space="preserve">2. Maßnahmen für den Fall, dass das Produkt während seiner Laufzeit die nach Nummer 1 festgestellten Qualitätsmerkmale unterschreitet;</w:t>
      </w:r>
    </w:p>
    <w:p>
      <w:pPr>
        <w:ind w:left="420"/>
      </w:pPr>
      <w:r>
        <w:t xml:space="preserve">3. die Abbildung der speziellen Risikostruktur der Produkte im Risikomanagementsystem und im Risikomesssystem, insbesondere die Zerlegung strukturierter Produkte nach § 33 Absatz 2;</w:t>
      </w:r>
    </w:p>
    <w:p>
      <w:pPr>
        <w:ind w:left="420"/>
      </w:pPr>
      <w:r>
        <w:t xml:space="preserve">4. eine ordnungsgemäße Preisfeststellung, insbesondere bei illiquiden Produkten.</w:t>
      </w:r>
    </w:p>
    <w:p>
      <w:r>
        <w:t xml:space="preserve">(2) Für Produkte, mit denen die Kapitalverwaltungsgesellschaft bereits hinreichend Erfahrung hat, darf die Richtlinie ein vereinfachtes Verfahren vorsehen, soweit dies im Einzelfall angemessen ist. Die Kapitalverwaltungsgesellschaft hat die ordnungsgemäße Durchführung des in der Richtlinie festgelegten Verfahrens für jedes Investmentvermögen zu dokumentieren. Der Prüfungsbericht gemäß den §§ 102, 121 Absatz 3 und § 136 Absatz 3 des Kapitalanlagegesetzbuches hat Angaben darüber zu enthalten, ob die Kapitalverwaltungsgesellschaft das in der Richtlinie festgelegte Verfahren gemäß Absatz 1 ordnungsgemäß gestaltet und durchgeführt hat. Unzulänglichkeiten des Verfahrens sind im Prüfungsbericht aufzuzeigen.</w:t>
      </w:r>
    </w:p>
    <w:p>
      <w:r>
        <w:rPr>
          <w:color w:val="555555"/>
          <w:sz w:val="17"/>
        </w:rPr>
        <w:t xml:space="preserve">Zitiervorschlag: § 34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