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DerivateV 2013 — Erwerb strukturierter Produkte</w:t>
      </w:r>
    </w:p>
    <w:p>
      <w:r>
        <w:rPr>
          <w:color w:val="555555"/>
          <w:sz w:val="18"/>
        </w:rPr>
        <w:t xml:space="preserve">Derivateverordnung</w:t>
      </w:r>
    </w:p>
    <w:p>
      <w:r>
        <w:rPr>
          <w:color w:val="555555"/>
          <w:sz w:val="18"/>
        </w:rPr>
        <w:t xml:space="preserve">Stand: 10.06.2019 (konsolidierte Textfassung, kein amtliches Inkrafttretensdatum)</w:t>
      </w:r>
    </w:p>
    <w:p>
      <w:r>
        <w:t xml:space="preserve">(1) Ein strukturiertes Produkt darf für ein Investmentvermögen nur erworben werden, wenn sichergestellt ist, dass nur solche Komponenten Einfluss auf das Risikoprofil und die Preisbildung des Produktes haben, die auch direkt für das Investmentvermögen erworben werden dürfen.</w:t>
      </w:r>
    </w:p>
    <w:p>
      <w:r>
        <w:t xml:space="preserve">(2) Bei Anwendung des einfachen Ansatzes ist ein strukturiertes Produkt für die Ermittlung der Anrechnungsbeträge für das Marktrisiko gemäß § 16 und für die Einbeziehung bei der Berechnung der Auslastung der Ausstellergrenzen gemäß den §§ 23 und 24 in seine Komponenten zu zerlegen und als Kombination dieser Komponenten gemäß § 16 Absatz 6 auf die jeweiligen Anlagegrenzen anzurechnen. Die Zerlegung ist nachvollziehbar zu dokumentieren.</w:t>
      </w:r>
    </w:p>
    <w:p>
      <w:r>
        <w:rPr>
          <w:color w:val="555555"/>
          <w:sz w:val="17"/>
        </w:rPr>
        <w:t xml:space="preserve">Zitiervorschlag: § 33 DerivateV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https://recht.nulegal.eu/gesetze/DerivateV%202013/33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