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DerivateV 2013 — Zusätzliche Stresstests im Rahmen der Sicherheitenverwaltung</w:t>
      </w:r>
    </w:p>
    <w:p>
      <w:r>
        <w:rPr>
          <w:color w:val="555555"/>
          <w:sz w:val="18"/>
        </w:rPr>
        <w:t xml:space="preserve">Derivateverordnung</w:t>
      </w:r>
    </w:p>
    <w:p>
      <w:r>
        <w:rPr>
          <w:color w:val="555555"/>
          <w:sz w:val="18"/>
        </w:rPr>
        <w:t xml:space="preserve">Stand: 10.06.2019 (konsolidierte Textfassung, kein amtliches Inkrafttretensdatum)</w:t>
      </w:r>
    </w:p>
    <w:p>
      <w:r>
        <w:t xml:space="preserve">(1) Die Kapitalverwaltungsgesellschaft hat für jedes Investmentvermögen, für das Sicherheiten in Höhe von mindestens 30 Prozent des Wertes des Investmentvermögens gestellt werden, geeignete Stresstests durchzuführen, die sowohl normale als auch außergewöhnliche Liquiditätsbedingungen berücksichtigen, um das mit den Sicherheiten verbundene Liquiditätsrisiko zu bewerten.</w:t>
      </w:r>
    </w:p>
    <w:p>
      <w:r>
        <w:t xml:space="preserve">(2) Die Strategie für diese Stresstests ist in der Richtlinie gemäß § 31 festzuschreiben. Die Strategie muss insbesondere enthalten:</w:t>
      </w:r>
    </w:p>
    <w:p>
      <w:pPr>
        <w:ind w:left="420"/>
      </w:pPr>
      <w:r>
        <w:t xml:space="preserve">1. ein Konzept für die Stresstest-Szenarioanalyse, einschließlich Kalibrierungs-, Zertifizierungs- und Sensitivitätsanalyse,</w:t>
      </w:r>
    </w:p>
    <w:p>
      <w:pPr>
        <w:ind w:left="420"/>
      </w:pPr>
      <w:r>
        <w:t xml:space="preserve">2. den empirischen Ansatz für die Folgenabschätzung, einschließlich Backtesting von Liquiditätsrisikoschätzungen,</w:t>
      </w:r>
    </w:p>
    <w:p>
      <w:pPr>
        <w:ind w:left="420"/>
      </w:pPr>
      <w:r>
        <w:t xml:space="preserve">3. Berichtshäufigkeit, Meldegrenzen und Verlusttoleranzschwellen und</w:t>
      </w:r>
    </w:p>
    <w:p>
      <w:pPr>
        <w:ind w:left="420"/>
      </w:pPr>
      <w:r>
        <w:t xml:space="preserve">4. Maßnahmen zur Eindämmung von Verlusten, einschließlich Haircut-Strategie und Gap-Risiko-Schutz.</w:t>
      </w:r>
    </w:p>
    <w:p>
      <w:r>
        <w:rPr>
          <w:color w:val="555555"/>
          <w:sz w:val="17"/>
        </w:rPr>
        <w:t xml:space="preserve">Zitiervorschlag: § 32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