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DerivateV 2013 — Häufigkeit, Anpassung</w:t>
      </w:r>
    </w:p>
    <w:p>
      <w:r>
        <w:rPr>
          <w:color w:val="555555"/>
          <w:sz w:val="18"/>
        </w:rPr>
        <w:t xml:space="preserve">Derivateverordnung</w:t>
      </w:r>
    </w:p>
    <w:p>
      <w:r>
        <w:rPr>
          <w:color w:val="555555"/>
          <w:sz w:val="18"/>
        </w:rPr>
        <w:t xml:space="preserve">Stand: 10.06.2019 (konsolidierte Textfassung, kein amtliches Inkrafttretensdatum)</w:t>
      </w:r>
    </w:p>
    <w:p>
      <w:r>
        <w:t xml:space="preserve">(1) Die Stresstests sind mindestens monatlich durchzuführen. Darüber hinaus sind Stresstests dann durchzuführen, wenn nicht ausgeschlossen werden kann, dass sich ihre Ergebnisse durch eine Änderung des Wertes oder der Zusammensetzung des Investmentvermögens oder durch eine Änderung in den Marktgegebenheiten wesentlich ändern.</w:t>
      </w:r>
    </w:p>
    <w:p>
      <w:r>
        <w:t xml:space="preserve">(2) Die Gestaltung der Stresstests ist fortlaufend an die Zusammensetzung des Investmentvermögens und an die für das Investmentvermögen relevanten Marktgegebenheiten anzupassen. Bei jeder Änderung der Gestaltung der Stresstests sind der bisherige und der geänderte Stresstest mindestens einmal parallel durchzuführen.</w:t>
      </w:r>
    </w:p>
    <w:p>
      <w:r>
        <w:rPr>
          <w:color w:val="555555"/>
          <w:sz w:val="17"/>
        </w:rPr>
        <w:t xml:space="preserve">Zitiervorschlag: § 30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