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DerivateV 2013 — Allgemeine Vorschriften</w:t>
      </w:r>
    </w:p>
    <w:p>
      <w:r>
        <w:rPr>
          <w:color w:val="555555"/>
          <w:sz w:val="18"/>
        </w:rPr>
        <w:t xml:space="preserve">Derivateverordnung</w:t>
      </w:r>
    </w:p>
    <w:p>
      <w:r>
        <w:rPr>
          <w:color w:val="555555"/>
          <w:sz w:val="18"/>
        </w:rPr>
        <w:t xml:space="preserve">Stand: 10.06.2019 (konsolidierte Textfassung, kein amtliches Inkrafttretensdatum)</w:t>
      </w:r>
    </w:p>
    <w:p>
      <w:r>
        <w:t xml:space="preserve">(1) Die Kapitalverwaltungsgesellschaft hat für jedes Investmentvermögen Stresstests nach Maßgabe des § 30 durchzuführen. Ein Stresstest ist nur dann geeignet, wenn er die Anforderungen des § 29 erfüllt.</w:t>
      </w:r>
    </w:p>
    <w:p>
      <w:r>
        <w:t xml:space="preserve">(2) In einem Stresstest sind mögliche außergewöhnlich große Wertverluste des Investmentvermögens zu ermitteln, die aufgrund von ungewöhnlichen Änderungen der wertbestimmenden Parameter und ihrer Zusammenhänge entstehen können. Umgekehrt sind, soweit angemessen, die Änderungen der wertbestimmenden Parameter und ihrer Zusammenhänge zu ermitteln, die einen außergewöhnlich großen oder vermögensbedrohenden Wertverlust des Investmentvermögens zur Folge hätten.</w:t>
      </w:r>
    </w:p>
    <w:p>
      <w:r>
        <w:t xml:space="preserve">(3) Ist eine genaue Bemessung der potenziellen Wertverluste des Investmentvermögens oder der Änderungen der wertbestimmenden Parameter und ihrer Zusammenhänge für einzelne Risikoarten nicht möglich, so darf die Kapitalverwaltungsgesellschaft an Stelle der Bemessung eine qualifizierte Schätzung setzen.</w:t>
      </w:r>
    </w:p>
    <w:p>
      <w:r>
        <w:t xml:space="preserve">(4) Die Stresstests müssen risikoadäquat in das Risikomanagement für das Investmentvermögen integriert sein. Die Ergebnisse der Stresstests müssen bei den Anlageentscheidungen für das Investmentvermögen angemessen berücksichtigt werden.</w:t>
      </w:r>
    </w:p>
    <w:p>
      <w:r>
        <w:t xml:space="preserve">(5) Die Auslagerung der Durchführung von Stresstests bestimmt sich nach § 36 des Kapitalanlagegesetzbuches.</w:t>
      </w:r>
    </w:p>
    <w:p>
      <w:r>
        <w:rPr>
          <w:color w:val="555555"/>
          <w:sz w:val="17"/>
        </w:rPr>
        <w:t xml:space="preserve">Zitiervorschlag: § 28 DerivateV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https://recht.nulegal.eu/gesetze/DerivateV%202013/28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