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DerivateV 2013 — Abschluss und Bewertung eines OTC-Derivates</w:t>
      </w:r>
    </w:p>
    <w:p>
      <w:r>
        <w:rPr>
          <w:color w:val="555555"/>
          <w:sz w:val="18"/>
        </w:rPr>
        <w:t xml:space="preserve">Derivateverordnung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Derivate, die nicht zum Handel an einer Börse zugelassen oder in einen anderen organisierten Markt einbezogen sind (OTC-Derivate), darf die Kapitalverwaltungsgesellschaft nur mit geeigneten Kreditinstituten, Wertpapierinstituten oder Finanzdienstleistungsinstituten auf der Grundlage standardisierter Rahmenverträge abschließen.</w:t>
      </w:r>
    </w:p>
    <w:p>
      <w:r>
        <w:t xml:space="preserve">(2) Die Kapitalverwaltungsgesellschaft hat eine transparente und faire Bewertung der OTC-Derivate auf täglicher Basis sicherzustellen. Die Bewertung muss den Risiken der OTC-Derivate sowie der Art und Komplexität der OTC-Derivate Rechnung tragen und die Vorgaben der §§ 24 und 26 der Kapitalanlage-Rechnungslegungs- und Bewertungsverordnung erfüllen. Sehen Verfahren für die Bewertung von OTC-Derivaten vor, dass Dritte bestimmte Aufgaben durchführen, müssen die Anforderungen des § 36 des Kapitalanlagegesetzbuches erfüllt werden. Die Risikocontrollingfunktion nach § 29 Absatz 1 des Kapitalanlagegesetzbuches ist bei der Bewertung von OTC-Derivaten angemessen zu beteiligen. Die OTC-Derivate müssen jederzeit zu einem angemessenen Zeitwert veräußert, liquidiert oder durch ein Gegengeschäft glattgestellt werden können.</w:t>
      </w:r>
    </w:p>
    <w:p>
      <w:r>
        <w:rPr>
          <w:color w:val="555555"/>
          <w:sz w:val="17"/>
        </w:rPr>
        <w:t xml:space="preserve">Zitiervorschlag: § 25 DerivateV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https://recht.nulegal.eu/gesetze/DerivateV%202013/25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DerivateV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