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DerivateV 2013 — Grundsatz</w:t>
      </w:r>
    </w:p>
    <w:p>
      <w:r>
        <w:rPr>
          <w:color w:val="555555"/>
          <w:sz w:val="18"/>
        </w:rPr>
        <w:t xml:space="preserve">Derivateverordnung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 der Berechnung der Auslastung der Anlagegrenzen nach den §§ 206 und 207 des Kapitalanlagegesetzbuches (Ausstellergrenzen) sind Derivate sowie derivative Komponenten, die von Wertpapieren, Geldmarktinstrumenten oder Investmentanteilen gemäß § 196 des Kapitalanlagegesetzbuches abgeleitet sind, einzubeziehen.</w:t>
      </w:r>
    </w:p>
    <w:p>
      <w:r>
        <w:t xml:space="preserve">(2) Bei Pensionsgeschäften sind alle Vermögensgegenstände, die Gegenstand des Pensionsgeschäftes sind, in die Ausstellergrenzen einzubeziehen.</w:t>
      </w:r>
    </w:p>
    <w:p>
      <w:r>
        <w:rPr>
          <w:color w:val="555555"/>
          <w:sz w:val="17"/>
        </w:rPr>
        <w:t xml:space="preserve">Zitiervorschlag: § 23 DerivateV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https://recht.nulegal.eu/gesetze/DerivateV%202013/23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