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DerivateV 2013 — Ermittlung des Anrechnungsbetrags für strukturierte Investmentvermögen</w:t>
      </w:r>
    </w:p>
    <w:p>
      <w:r>
        <w:rPr>
          <w:color w:val="555555"/>
          <w:sz w:val="18"/>
        </w:rPr>
        <w:t xml:space="preserve">Derivateverordnung</w:t>
      </w:r>
    </w:p>
    <w:p>
      <w:r>
        <w:rPr>
          <w:color w:val="555555"/>
          <w:sz w:val="18"/>
        </w:rPr>
        <w:t xml:space="preserve">Stand: 10.06.2019 (konsolidierte Textfassung, kein amtliches Inkrafttretensdatum)</w:t>
      </w:r>
    </w:p>
    <w:p>
      <w:r>
        <w:t xml:space="preserve">Der Anrechnungsbetrag für das Marktrisiko für strukturierte Investmentvermögen kann alternativ für die einzelnen Auszahlungsprofile getrennt ermittelt werden, sofern</w:t>
      </w:r>
    </w:p>
    <w:p>
      <w:pPr>
        <w:ind w:left="420"/>
      </w:pPr>
      <w:r>
        <w:t xml:space="preserve">1. das Investmentvermögen passiv und entsprechend einer festgelegten Auszahlung nach Ablauf der Dauer des Investmentvermögens verwaltet wird und die Investitionen des Investmentvermögens der Sicherstellung der festgelegten Auszahlungen dienen,</w:t>
      </w:r>
    </w:p>
    <w:p>
      <w:pPr>
        <w:ind w:left="420"/>
      </w:pPr>
      <w:r>
        <w:t xml:space="preserve">2. die festgelegte Auszahlung in eine begrenzte Anzahl voneinander getrennter Szenarien unterteilt ist, die sich nach der Wertentwicklung der Basisinstrumente bestimmen und zu unterschiedlichen Auszahlungsprofilen führen,</w:t>
      </w:r>
    </w:p>
    <w:p>
      <w:pPr>
        <w:ind w:left="420"/>
      </w:pPr>
      <w:r>
        <w:t xml:space="preserve">3. während der Laufzeit des Investmentvermögens zu jedem Zeitpunkt nur ein Auszahlungsprofil relevant sein kann,</w:t>
      </w:r>
    </w:p>
    <w:p>
      <w:pPr>
        <w:ind w:left="420"/>
      </w:pPr>
      <w:r>
        <w:t xml:space="preserve">4. die gemäß § 5 Absatz 2 gewählte Methode angemessen ist und keine wesentlichen Risiken unberücksichtigt bleiben,</w:t>
      </w:r>
    </w:p>
    <w:p>
      <w:pPr>
        <w:ind w:left="420"/>
      </w:pPr>
      <w:r>
        <w:t xml:space="preserve">5. das Investmentvermögen eine begrenzte Dauer von höchstens neun Jahren hat,</w:t>
      </w:r>
    </w:p>
    <w:p>
      <w:pPr>
        <w:ind w:left="420"/>
      </w:pPr>
      <w:r>
        <w:t xml:space="preserve">6. nach einem anfänglichen Vertriebszeitraum keine weiteren Anteile des Investmentvermögens ausgegeben werden,</w:t>
      </w:r>
    </w:p>
    <w:p>
      <w:pPr>
        <w:ind w:left="420"/>
      </w:pPr>
      <w:r>
        <w:t xml:space="preserve">7. der maximale Verlust, der durch den Wechsel zwischen Auszahlungsprofilen entsteht, auf 100 Prozent des ersten Ausgabepreises begrenzt ist und</w:t>
      </w:r>
    </w:p>
    <w:p>
      <w:pPr>
        <w:ind w:left="420"/>
      </w:pPr>
      <w:r>
        <w:t xml:space="preserve">8. der Einfluss der Wertentwicklung eines Basisinstruments auf das Auszahlungsprofil bei einem Wechsel zwischen Szenarien die jeweiligen Anlagegrenzen nach den §§ 206 und 207 des Kapitalanlagegesetzbuches bezogen auf den anfänglichen Wert des Investmentvermögens nicht übersteigt.</w:t>
      </w:r>
    </w:p>
    <w:p>
      <w:r>
        <w:rPr>
          <w:color w:val="555555"/>
          <w:sz w:val="17"/>
        </w:rPr>
        <w:t xml:space="preserve">Zitiervorschlag: § 22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