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DerivateV 2013 — Wiederanlage von Sicherheiten</w:t>
      </w:r>
    </w:p>
    <w:p>
      <w:r>
        <w:rPr>
          <w:color w:val="555555"/>
          <w:sz w:val="18"/>
        </w:rPr>
        <w:t xml:space="preserve">Derivateverordnung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Anlage von Sicherheiten im Rahmen von Derivaten, von Wertpapier-Darlehen nach den §§ 200 bis 202 des Kapitalanlagegesetzbuches und von Pensionsgeschäften nach § 203 des Kapitalanlagegesetzbuches muss bei der Ermittlung des Anrechnungsbetrags für das Marktrisiko nach § 16 Absatz 3 mit den zugehörigen Anrechnungsbeträgen einbezogen werden. Ausgenommen hiervon ist die Anlage in risikolose Mittel.</w:t>
      </w:r>
    </w:p>
    <w:p>
      <w:r>
        <w:t xml:space="preserve">(2) Der zugehörige Anrechnungsbetrag entspricht bei Sicherheiten in Form von Bankguthaben dem Betrag der Sicherheiten oder bei Sicherheiten in Form von anderen Vermögensgegenständen dem Marktwert.</w:t>
      </w:r>
    </w:p>
    <w:p>
      <w:r>
        <w:t xml:space="preserve">(3) Die Absätze 1 und 2 gelten für die Nutzung von Sicherheiten zu zusätzlichen Pensionsgeschäften entsprechend.</w:t>
      </w:r>
    </w:p>
    <w:p>
      <w:r>
        <w:t xml:space="preserve">(4) In Pension genommene Wertpapiere oder empfangene Beträge nach § 203 des Kapitalanlagegesetzbuches gelten als Sicherheiten im Sinne der Absätze 1 bis 3.</w:t>
      </w:r>
    </w:p>
    <w:p>
      <w:r>
        <w:rPr>
          <w:color w:val="555555"/>
          <w:sz w:val="17"/>
        </w:rPr>
        <w:t xml:space="preserve">Zitiervorschlag: § 21 DerivateV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https://recht.nulegal.eu/gesetze/DerivateV%202013/21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