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DerivateV 2013 — Einsatz von Derivaten, Wertpapier-Darlehen und Pensionsgeschäften</w:t>
      </w:r>
    </w:p>
    <w:p>
      <w:r>
        <w:rPr>
          <w:color w:val="555555"/>
          <w:sz w:val="18"/>
        </w:rPr>
        <w:t xml:space="preserve">Derivateverordnung</w:t>
      </w:r>
    </w:p>
    <w:p>
      <w:r>
        <w:rPr>
          <w:color w:val="555555"/>
          <w:sz w:val="18"/>
        </w:rPr>
        <w:t xml:space="preserve">Stand: 10.06.2019 (konsolidierte Textfassung, kein amtliches Inkrafttretensdatum)</w:t>
      </w:r>
    </w:p>
    <w:p>
      <w:r>
        <w:t xml:space="preserve">(1) Der Einsatz von Derivaten, Wertpapier-Darlehen und Pensionsgeschäften darf</w:t>
      </w:r>
    </w:p>
    <w:p>
      <w:pPr>
        <w:ind w:left="420"/>
      </w:pPr>
      <w:r>
        <w:t xml:space="preserve">1. nicht zu einer Veränderung des Anlagecharakters führen, der</w:t>
      </w:r>
    </w:p>
    <w:p>
      <w:pPr>
        <w:ind w:left="780"/>
      </w:pPr>
      <w:r>
        <w:t xml:space="preserve">a) nach dem Kapitalanlagegesetzbuch und den jeweiligen Anlagebedingungen zulässig ist sowie</w:t>
      </w:r>
    </w:p>
    <w:p>
      <w:pPr>
        <w:ind w:left="780"/>
      </w:pPr>
      <w:r>
        <w:t xml:space="preserve">b) bei Publikumsinvestmentvermögen im Verkaufsprospekt und in den wesentlichen Anlegerinformationen gemäß den §§ 165 und 166 des Kapitalanlagegesetzbuches beschrieben ist und</w:t>
      </w:r>
    </w:p>
    <w:p>
      <w:pPr>
        <w:ind w:left="420"/>
      </w:pPr>
      <w:r>
        <w:t xml:space="preserve">2. nicht mit wesentlichen zusätzlichen Risiken im Vergleich zum ursprünglichen, in den Verkaufsunterlagen beschriebenen Risikoprofil verbunden sein.</w:t>
      </w:r>
    </w:p>
    <w:p>
      <w:r>
        <w:t xml:space="preserve">(2) Die Kapitalverwaltungsgesellschaft darf für ein Investmentvermögen mit Ausnahme von Sonstigen Investmentvermögen nach § 220 des Kapitalanlagegesetzbuches und Spezial-AIF nach § 284 des Kapitalanlagegesetzbuches nur Derivate abschließen, wenn</w:t>
      </w:r>
    </w:p>
    <w:p>
      <w:pPr>
        <w:ind w:left="420"/>
      </w:pPr>
      <w:r>
        <w:t xml:space="preserve">1. die Basiswerte dieser Derivate nach Maßgabe des Kapitalanlagegesetzbuches und der jeweiligen Anlagebedingungen für das Investmentvermögen erworben werden dürfen oder</w:t>
      </w:r>
    </w:p>
    <w:p>
      <w:pPr>
        <w:ind w:left="420"/>
      </w:pPr>
      <w:r>
        <w:t xml:space="preserve">2. die Risiken, die diese Basiswerte repräsentieren, auch durch die nach dem Kapitalanlagegesetzbuch und den jeweiligen Anlagebedingungen zulässigen Vermögensgegenstände im Investmentvermögen hätten entstehen können.</w:t>
      </w:r>
    </w:p>
    <w:p>
      <w:r>
        <w:t xml:space="preserve">(3) Besitzt ein Vertragspartner eines derivativen Geschäftes einen Ermessensspielraum bei der Zusammensetzung oder Verwaltung des Anlageportfolios des Investmentvermögens oder bei der Zusammensetzung oder Verwaltung der Basiswerte oder des Basiswertes des Derivates, so gilt das Geschäft als Auslagerungsvereinbarung in Bezug auf die Portfolioverwaltung und muss den Anforderungen des § 36 des Kapitalanlagegesetzbuches entsprechen.</w:t>
      </w:r>
    </w:p>
    <w:p>
      <w:r>
        <w:rPr>
          <w:color w:val="555555"/>
          <w:sz w:val="17"/>
        </w:rPr>
        <w:t xml:space="preserve">Zitiervorschlag: § 2 DerivateV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https://recht.nulegal.eu/gesetze/DerivateV%202013/2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