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DerivateV 2013 — Anerkennung von Absicherungsgeschäften</w:t>
      </w:r>
    </w:p>
    <w:p>
      <w:r>
        <w:rPr>
          <w:color w:val="555555"/>
          <w:sz w:val="18"/>
        </w:rPr>
        <w:t xml:space="preserve">Derivateverordnung</w:t>
      </w:r>
    </w:p>
    <w:p>
      <w:r>
        <w:rPr>
          <w:color w:val="555555"/>
          <w:sz w:val="18"/>
        </w:rPr>
        <w:t xml:space="preserve">Stand: 10.06.2019 (konsolidierte Textfassung, kein amtliches Inkrafttretensdatum)</w:t>
      </w:r>
    </w:p>
    <w:p>
      <w:r>
        <w:t xml:space="preserve">(1) Bei der Ermittlung des Anrechnungsbetrags für das Marktrisiko nach § 16 Absatz 3 können Absicherungsgeschäfte berücksichtigt werden. Dem Anrechnungsbetrag von marktgegenläufigen Derivaten wird hierzu ein negatives Vorzeichen zugeordnet. Die Anrechnungsbeträge von marktgegenläufigen Derivaten können mit den entsprechenden positiven Anrechnungsbeträgen von Derivaten sowie mit den Marktwerten von entsprechenden nichtderivativen Vermögensgegenständen nach den §§ 193 bis 196, 198 und 231 des Kapitalanlagegesetzbuches addiert und somit verrechnet werden. Der aus der Verrechnung resultierende Anrechnungsbetrag ist als absoluter Wert in die Summe nach § 16 Absatz 3 einzubeziehen. Verrechnungen dürfen nur unter der Voraussetzung erfolgen, dass</w:t>
      </w:r>
    </w:p>
    <w:p>
      <w:pPr>
        <w:ind w:left="420"/>
      </w:pPr>
      <w:r>
        <w:t xml:space="preserve">1. das derivative Geschäft einzig zum Zweck der Absicherung abgeschlossen worden ist,</w:t>
      </w:r>
    </w:p>
    <w:p>
      <w:pPr>
        <w:ind w:left="420"/>
      </w:pPr>
      <w:r>
        <w:t xml:space="preserve">2. durch die Verrechnung wesentliche Risiken nicht vernachlässigt werden,</w:t>
      </w:r>
    </w:p>
    <w:p>
      <w:pPr>
        <w:ind w:left="420"/>
      </w:pPr>
      <w:r>
        <w:t xml:space="preserve">3. der Anrechnungsbetrag der Derivate nach den Vorgaben des § 16 Absatz 1 Satz 1 ermittelt wird und</w:t>
      </w:r>
    </w:p>
    <w:p>
      <w:pPr>
        <w:ind w:left="420"/>
      </w:pPr>
      <w:r>
        <w:t xml:space="preserve">4. sich die Derivate beziehen auf</w:t>
      </w:r>
    </w:p>
    <w:p>
      <w:pPr>
        <w:ind w:left="780"/>
      </w:pPr>
      <w:r>
        <w:t xml:space="preserve">a) den gleichen Basiswert oder einen Basiswert, der exakt dem abzusichernden nichtderivativen Vermögensgegenstand nach den §§ 193 bis 196 und 198 des Kapitalanlagegesetzbuches im Investmentvermögen entspricht, oder</w:t>
      </w:r>
    </w:p>
    <w:p>
      <w:pPr>
        <w:ind w:left="780"/>
      </w:pPr>
      <w:r>
        <w:t xml:space="preserve">b) einen Basiswert, der nicht exakt dem abzusichernden nichtderivativen Vermögensgegenstand nach den §§ 193 bis 196, 198 und 231 des Kapitalanlagegesetzbuches im Investmentvermögen entspricht, sofern</w:t>
      </w:r>
    </w:p>
    <w:p>
      <w:pPr>
        <w:ind w:left="1140"/>
      </w:pPr>
      <w:r>
        <w:t xml:space="preserve">aa) das derivative Geschäft nicht auf einer Anlagestrategie beruht, die der Gewinnerzielung dient,</w:t>
      </w:r>
    </w:p>
    <w:p>
      <w:pPr>
        <w:ind w:left="1140"/>
      </w:pPr>
      <w:r>
        <w:t xml:space="preserve">bb) das Derivat zu einer nachweisbaren Reduktion des Risikos des Investmentvermögens führt,</w:t>
      </w:r>
    </w:p>
    <w:p>
      <w:pPr>
        <w:ind w:left="1140"/>
      </w:pPr>
      <w:r>
        <w:t xml:space="preserve">cc) das allgemeine und das besondere Marktrisiko des Derivates ausgeglichen werden,</w:t>
      </w:r>
    </w:p>
    <w:p>
      <w:pPr>
        <w:ind w:left="1140"/>
      </w:pPr>
      <w:r>
        <w:t xml:space="preserve">dd) die zu verrechnenden Derivate, Basiswerte oder Vermögensgegenstände der gleichen Art von Finanzinstrumenten angehören und</w:t>
      </w:r>
    </w:p>
    <w:p>
      <w:pPr>
        <w:ind w:left="1140"/>
      </w:pPr>
      <w:r>
        <w:t xml:space="preserve">ee) davon ausgegangen werden kann, dass die Absicherungsstrategie auch unter außergewöhnlichen Marktbedingungen effizient ist.</w:t>
      </w:r>
    </w:p>
    <w:p>
      <w:r>
        <w:t xml:space="preserve">(2) Für Investmentvermögen, die überwiegend in Derivate investiert sind, die sich auf Zinssätze beziehen (Zinsderivate), kann zum Zweck der Verrechnung von Anrechnungsbeträgen die Korrelation zwischen Laufzeitsegmenten der Zinsstrukturkurve nach der in § 20 beschriebenen Methode berücksichtigt werden. Die Methode nach § 20 darf nicht angewendet werden, wenn die Anwendung zu einer falschen Ermittlung des Risikoprofils des Investmentvermögens und zu überhöhtem Leverage führt und wenn wesentliche Risiken unberücksichtigt bleiben.</w:t>
      </w:r>
    </w:p>
    <w:p>
      <w:r>
        <w:rPr>
          <w:color w:val="555555"/>
          <w:sz w:val="17"/>
        </w:rPr>
        <w:t xml:space="preserve">Zitiervorschlag: § 19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