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DerivateV 2013 — Qualitative Anforderungen; Risikocontrolling</w:t>
      </w:r>
    </w:p>
    <w:p>
      <w:r>
        <w:rPr>
          <w:color w:val="555555"/>
          <w:sz w:val="18"/>
        </w:rPr>
        <w:t xml:space="preserve">Derivateverordnung</w:t>
      </w:r>
    </w:p>
    <w:p>
      <w:r>
        <w:rPr>
          <w:color w:val="555555"/>
          <w:sz w:val="18"/>
        </w:rPr>
        <w:t xml:space="preserve">Stand: 10.06.2019 (konsolidierte Textfassung, kein amtliches Inkrafttretensdatum)</w:t>
      </w:r>
    </w:p>
    <w:p>
      <w:r>
        <w:t xml:space="preserve">(1) Die Arbeits- und Ablauforganisation der Kapitalverwaltungsgesellschaft ist so zu gestalten, dass eine zeitnahe Ermittlung des potenziellen Risikobetrags für das Marktrisiko, insbesondere durch eine vollständige Erfassung aller Positionen des Investmentvermögens, gewährleistet ist; diese ist ausführlich zu dokumentieren.</w:t>
      </w:r>
    </w:p>
    <w:p>
      <w:r>
        <w:t xml:space="preserve">(2) Die Risikocontrollingfunktion nach § 29 Absatz 1 des Kapitalanlagegesetzbuches ist zuständig und verantwortlich für</w:t>
      </w:r>
    </w:p>
    <w:p>
      <w:pPr>
        <w:ind w:left="420"/>
      </w:pPr>
      <w:r>
        <w:t xml:space="preserve">1. die Erstellung, Überprüfung, Pflege und Weiterentwicklung der Risikomodelle,</w:t>
      </w:r>
    </w:p>
    <w:p>
      <w:pPr>
        <w:ind w:left="420"/>
      </w:pPr>
      <w:r>
        <w:t xml:space="preserve">2. die Überwachung des Prozesses zur Bestimmung und Zusammensetzung des Vergleichsvermögens nach § 9,</w:t>
      </w:r>
    </w:p>
    <w:p>
      <w:pPr>
        <w:ind w:left="420"/>
      </w:pPr>
      <w:r>
        <w:t xml:space="preserve">3. die Sicherstellung der Eignung des Risikomodells für das jeweilige Investmentvermögen,</w:t>
      </w:r>
    </w:p>
    <w:p>
      <w:pPr>
        <w:ind w:left="420"/>
      </w:pPr>
      <w:r>
        <w:t xml:space="preserve">4. die laufende Validierung des Risikomodells,</w:t>
      </w:r>
    </w:p>
    <w:p>
      <w:pPr>
        <w:ind w:left="420"/>
      </w:pPr>
      <w:r>
        <w:t xml:space="preserve">5. die Validierung und Implementierung eines dokumentierten und durch die Geschäftsleiter genehmigten Systems von Obergrenzen (Limite) von potenziellen Risikobeträgen für jedes Investmentvermögen in Übereinstimmung mit dessen Risikoprofil,</w:t>
      </w:r>
    </w:p>
    <w:p>
      <w:pPr>
        <w:ind w:left="420"/>
      </w:pPr>
      <w:r>
        <w:t xml:space="preserve">6. die tägliche Ermittlung, Analyse und Kommentierung der potenziellen Risikobeträge und die Überwachung der Obergrenzen nach Nummer 5,</w:t>
      </w:r>
    </w:p>
    <w:p>
      <w:pPr>
        <w:ind w:left="420"/>
      </w:pPr>
      <w:r>
        <w:t xml:space="preserve">7. die regelmäßige Überwachung des Leverage des Investmentvermögens sowie</w:t>
      </w:r>
    </w:p>
    <w:p>
      <w:pPr>
        <w:ind w:left="420"/>
      </w:pPr>
      <w:r>
        <w:t xml:space="preserve">8. die regelmäßige Berichterstattung an die Geschäftsleiter bezüglich der aktuellen potenziellen Risikobeträge, der Prognosegüte nach § 14 und der Ergebnisse der Stresstests nach den §§ 28 bis 32.</w:t>
      </w:r>
    </w:p>
    <w:p>
      <w:r>
        <w:t xml:space="preserve">(3) Die mathematisch-statistischen Verfahren zur Ermittlung des potenziellen Risikobetrags für das Marktrisiko müssen eine hohe Präzision aufweisen. Sie müssen mit den für die aktuelle Risikosteuerung angewendeten Verfahren übereinstimmen; zulässig sind nur Abweichungen von den in den §§ 11 und 12 Absatz 3 Satz 2 vorgeschriebenen quantitativen Vorgaben.</w:t>
      </w:r>
    </w:p>
    <w:p>
      <w:r>
        <w:t xml:space="preserve">(4) Die Kapitalverwaltungsgesellschaft muss über geeignete Verfahren zur Validierung des Risikomodells verfügen. Die Angemessenheit muss in folgenden Fällen validiert und überprüft werden:</w:t>
      </w:r>
    </w:p>
    <w:p>
      <w:pPr>
        <w:ind w:left="420"/>
      </w:pPr>
      <w:r>
        <w:t xml:space="preserve">1. bei der Entwicklung des Risikomodells,</w:t>
      </w:r>
    </w:p>
    <w:p>
      <w:pPr>
        <w:ind w:left="420"/>
      </w:pPr>
      <w:r>
        <w:t xml:space="preserve">2. in regelmäßigen zeitlichen Abständen (laufende Validierung) und</w:t>
      </w:r>
    </w:p>
    <w:p>
      <w:pPr>
        <w:ind w:left="420"/>
      </w:pPr>
      <w:r>
        <w:t xml:space="preserve">3. bei jeder wesentlichen Änderung, die dazu führen könnte, dass das Risikomodell nicht mehr angemessen ist.</w:t>
      </w:r>
    </w:p>
    <w:p>
      <w:r>
        <w:t xml:space="preserve">Personen, die direkt in den Entwicklungsprozess des Risikomodells eingebunden sind, dürfen nicht in die Validierung bei der Entwicklung und bei wesentlichen Änderungen einbezogen sein. Die laufende Validierung ist durch die Risikocontrollingfunktion entsprechend Absatz 2 Nummer 4 durchzuführen. Validierung und Überprüfung der Angemessenheit sind angemessen zu dokumentieren und das Risikomodell ist bei Bedarf anzupassen.</w:t>
      </w:r>
    </w:p>
    <w:p>
      <w:r>
        <w:t xml:space="preserve">(5) Die für die Zeitreihenanalysen verwendeten empirischen Daten der Entwicklung von Preisen, Kursen und Zinssätzen sowie deren Zusammenhänge sind regelmäßig, mindestens aber dreimonatlich zu aktualisieren; bei Bedarf sind sie unverzüglich zu aktualisieren.</w:t>
      </w:r>
    </w:p>
    <w:p>
      <w:r>
        <w:t xml:space="preserve">(6) Das Risikomodell einschließlich der zugehörigen Prozesse und der mathematisch-statistischen Verfahren ist zu dokumentieren. Die Dokumentation beinhaltet zumindest die durch das Risikomodell erfassten Risiken, die mathematisch-statistischen Verfahren, Annahmen und Grundlagen, die Daten, die Angemessenheit der Risikobewertung, die Verfahren zur Validierung des Risikomodells, die Verfahren zur Ermittlung der Prognosegüte nach § 14, die Verfahren bezüglich der Stresstests nach den §§ 28 bis 34, den Gültigkeitsrahmen des Risikomodells sowie die operationelle Implementierung.</w:t>
      </w:r>
    </w:p>
    <w:p>
      <w:r>
        <w:t xml:space="preserve">(7) Die Einhaltung der Anforderungen nach den Absätzen 1 bis 6 sowie des § 14 ist regelmäßig, mindestens aber einmal jährlich, von der Internen Revision zu überprüfen.</w:t>
      </w:r>
    </w:p>
    <w:p>
      <w:r>
        <w:rPr>
          <w:color w:val="555555"/>
          <w:sz w:val="17"/>
        </w:rPr>
        <w:t xml:space="preserve">Zitiervorschlag: § 13 DerivateV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https://recht.nulegal.eu/gesetze/DerivateV%202013/13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