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DerivateV 2013 — Zu erfassende Risikofaktoren</w:t>
      </w:r>
    </w:p>
    <w:p>
      <w:r>
        <w:rPr>
          <w:color w:val="555555"/>
          <w:sz w:val="18"/>
        </w:rPr>
        <w:t xml:space="preserve">Derivateverordnung</w:t>
      </w:r>
    </w:p>
    <w:p>
      <w:r>
        <w:rPr>
          <w:color w:val="555555"/>
          <w:sz w:val="18"/>
        </w:rPr>
        <w:t xml:space="preserve">Stand: 10.06.2019 (konsolidierte Textfassung, kein amtliches Inkrafttretensdatum)</w:t>
      </w:r>
    </w:p>
    <w:p>
      <w:r>
        <w:t xml:space="preserve">(1) Bei der Ermittlung des potenziellen Risikobetrags für das Marktrisiko sind alle nicht nur unerheblichen Marktrisikofaktoren in einer dem Umfang und der Struktur des Investmentvermögens angemessenen Weise zu berücksichtigen. Dabei sind sowohl das allgemeine als auch das besondere Marktrisiko zu berücksichtigen.</w:t>
      </w:r>
    </w:p>
    <w:p>
      <w:r>
        <w:t xml:space="preserve">(2) Die den einbezogenen Optionsgeschäften eigentümlichen Risiken, die nicht in linearem Zusammenhang mit den Kurs-, Preis- oder Zinssatzschwankungen stehen, sind in angemessener Weise zu berücksichtigen.</w:t>
      </w:r>
    </w:p>
    <w:p>
      <w:r>
        <w:t xml:space="preserve">(3) Bei der Ermittlung des potenziellen Risikobetrags ist Folgendes gesondert in angemessener Weise zu berücksichtigen:</w:t>
      </w:r>
    </w:p>
    <w:p>
      <w:pPr>
        <w:ind w:left="420"/>
      </w:pPr>
      <w:r>
        <w:t xml:space="preserve">1. besondere Zinsänderungsrisiken für die nicht gleichförmige Entwicklung kurzfristiger und langfristiger Zinssätze (Zinsstrukturrisiken) und</w:t>
      </w:r>
    </w:p>
    <w:p>
      <w:pPr>
        <w:ind w:left="420"/>
      </w:pPr>
      <w:r>
        <w:t xml:space="preserve">2. die nicht gleichförmige Entwicklung der Zinssätze verschiedener, auf die gleiche Währung lautender zinsbezogener Finanzinstrumente mit vergleichbarer Restlaufzeit (Spreadrisiken).</w:t>
      </w:r>
    </w:p>
    <w:p>
      <w:r>
        <w:t xml:space="preserve">Bei der Ermittlung der Zinsstrukturrisiken sind eine dem Umfang des Investmentvermögens angemessene Anzahl und eine der Struktur des Investmentvermögens angemessene Verteilung von zeitmäßig bestimmten Zinsrisikozonen zu berücksichtigen. Die Anzahl der Zinsrisikozonen muss mindestens sechs betragen, sofern im jeweiligen Markt verfügbar.</w:t>
      </w:r>
    </w:p>
    <w:p>
      <w:r>
        <w:t xml:space="preserve">(4) Bei der Ermittlung der Aktienkursrisiken sind Unterschiede in der Entwicklung der Kurse oder Preise von Produktgruppen und Produkten sowie Unterschiede in der Entwicklung von Kassa- und Terminpreisen in angemessener Weise zu berücksichtigen.</w:t>
      </w:r>
    </w:p>
    <w:p>
      <w:r>
        <w:rPr>
          <w:color w:val="555555"/>
          <w:sz w:val="17"/>
        </w:rPr>
        <w:t xml:space="preserve">Zitiervorschlag: § 12 DerivateV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https://recht.nulegal.eu/gesetze/DerivateV%202013/12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DerivateV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