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DerivateV 2013 — Anwendungsbereich</w:t>
      </w:r>
    </w:p>
    <w:p>
      <w:r>
        <w:rPr>
          <w:color w:val="555555"/>
          <w:sz w:val="18"/>
        </w:rPr>
        <w:t xml:space="preserve">Derivateverordnung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anzuwenden auf</w:t>
      </w:r>
    </w:p>
    <w:p>
      <w:pPr>
        <w:ind w:left="420"/>
      </w:pPr>
      <w:r>
        <w:t xml:space="preserve">1. den Einsatz von Derivaten in Investmentvermögen gemäß § 197 des Kapitalanlagegesetzbuches,</w:t>
      </w:r>
    </w:p>
    <w:p>
      <w:pPr>
        <w:ind w:left="420"/>
      </w:pPr>
      <w:r>
        <w:t xml:space="preserve">2. den Einsatz von Wertpapier-Darlehen und Pensionsgeschäften gemäß den §§ 200 bis 203 des Kapitalanlagegesetzbuches,</w:t>
      </w:r>
    </w:p>
    <w:p>
      <w:pPr>
        <w:ind w:left="420"/>
      </w:pPr>
      <w:r>
        <w:t xml:space="preserve">3. das Risikomanagement und die Berechnung des Marktrisikopotenzials dieser Derivate und Geschäfte sowie die Anrechnung dieser Derivate und Geschäfte auf die Anlagegrenzen.</w:t>
      </w:r>
    </w:p>
    <w:p>
      <w:r>
        <w:t xml:space="preserve">(2) Diese Verordnung ist nur anzuwenden für offene inländische Publikumsinvestmentvermögen gemäß den §§ 162 bis 260 des Kapitalanlagesetzbuches und für offene inländische Spezial-AIF mit festen Anlagebedingungen gemäß § 284 des Kapitalanlagegesetzbuches, es sei denn, die Anlagebedingungen dieser Investmentvermögen schließen eine Investition in Derivate, Wertpapier-Darlehen und Pensionsgeschäfte aus.</w:t>
      </w:r>
    </w:p>
    <w:p>
      <w:r>
        <w:rPr>
          <w:color w:val="555555"/>
          <w:sz w:val="17"/>
        </w:rPr>
        <w:t xml:space="preserve">Zitiervorschlag: § 1 DerivateV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https://recht.nulegal.eu/gesetze/DerivateV%202013/1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DerivateV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