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DepV 2009 — Handhabung der Abfälle</w:t>
      </w:r>
    </w:p>
    <w:p>
      <w:r>
        <w:rPr>
          <w:color w:val="555555"/>
          <w:sz w:val="18"/>
        </w:rPr>
        <w:t xml:space="preserve">Deponieverordnung</w:t>
      </w:r>
    </w:p>
    <w:p>
      <w:r>
        <w:rPr>
          <w:color w:val="555555"/>
          <w:sz w:val="18"/>
        </w:rPr>
        <w:t xml:space="preserve">Stand: 10.06.2019 (konsolidierte Textfassung, kein amtliches Inkrafttretensdatum)</w:t>
      </w:r>
    </w:p>
    <w:p>
      <w:r>
        <w:t xml:space="preserve">Der Betreiber einer Deponie der Klasse 0, I, II oder III hat sicherzustellen, dass durch die abgelagerten Abfälle eine Beeinträchtigung der Standsicherheit des Deponiekörpers nicht zu besorgen ist. Im Übrigen hat er die abzulagernden Abfälle nach Anhang 5 Nummer 4 zu handhaben. Der Betreiber einer Deponie der Klasse IV hat Abfälle nach Anhang 5 Nummer 5 zu handhaben.</w:t>
      </w:r>
    </w:p>
    <w:p>
      <w:r>
        <w:rPr>
          <w:color w:val="555555"/>
          <w:sz w:val="17"/>
        </w:rPr>
        <w:t xml:space="preserve">Zitiervorschlag: § 9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