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8 DepV 2009 — Annahmeverfahren</w:t>
      </w:r>
    </w:p>
    <w:p>
      <w:r>
        <w:rPr>
          <w:color w:val="555555"/>
          <w:sz w:val="18"/>
        </w:rPr>
        <w:t xml:space="preserve">Deponieverordnung</w:t>
      </w:r>
    </w:p>
    <w:p>
      <w:r>
        <w:rPr>
          <w:color w:val="555555"/>
          <w:sz w:val="18"/>
        </w:rPr>
        <w:t xml:space="preserve">Stand: 01.08.2023 (konsolidierte Textfassung, kein amtliches Inkrafttretensdatum)</w:t>
      </w:r>
    </w:p>
    <w:p>
      <w:r>
        <w:t xml:space="preserve">(1) Der Abfallerzeuger, bei Sammelentsorgung der Einsammler, hat dem Deponiebetreiber rechtzeitig vor der ersten Anlieferung die grundlegende Charakterisierung des Abfalls mit mindestens folgenden Angaben vorzulegen:</w:t>
      </w:r>
    </w:p>
    <w:p>
      <w:pPr>
        <w:ind w:left="420"/>
      </w:pPr>
      <w:r>
        <w:t xml:space="preserve">1. Abfallherkunft (Abfallerzeuger oder Einsammlungsgebiet),</w:t>
      </w:r>
    </w:p>
    <w:p>
      <w:pPr>
        <w:ind w:left="420"/>
      </w:pPr>
      <w:r>
        <w:t xml:space="preserve">2. Abfallbeschreibung (betriebsinterne Abfallbezeichnung, Abfallschlüssel und Abfallbezeichnung nach der Anlage zur Abfallverzeichnis-Verordnung),</w:t>
      </w:r>
    </w:p>
    <w:p>
      <w:pPr>
        <w:ind w:left="420"/>
      </w:pPr>
      <w:r>
        <w:t xml:space="preserve">2a. Ergebnis der Prüfung der Verwertbarkeit und Verwertungsmöglichkeiten,</w:t>
      </w:r>
    </w:p>
    <w:p>
      <w:pPr>
        <w:ind w:left="420"/>
      </w:pPr>
      <w:r>
        <w:t xml:space="preserve">3. Art der Vorbehandlung, soweit durchgeführt,</w:t>
      </w:r>
    </w:p>
    <w:p>
      <w:pPr>
        <w:ind w:left="420"/>
      </w:pPr>
      <w:r>
        <w:t xml:space="preserve">4. Aussehen, Konsistenz, Geruch und Farbe,</w:t>
      </w:r>
    </w:p>
    <w:p>
      <w:pPr>
        <w:ind w:left="420"/>
      </w:pPr>
      <w:r>
        <w:t xml:space="preserve">5. Masse des Abfalls als Gesamtmenge oder Menge pro Zeiteinheit,</w:t>
      </w:r>
    </w:p>
    <w:p>
      <w:pPr>
        <w:ind w:left="420"/>
      </w:pPr>
      <w:r>
        <w:t xml:space="preserve">6. Probenahmeprotokoll nach Anhang 4 Nummer 2,</w:t>
      </w:r>
    </w:p>
    <w:p>
      <w:pPr>
        <w:ind w:left="420"/>
      </w:pPr>
      <w:r>
        <w:t xml:space="preserve">7. Protokoll über die Probenvorbereitung nach Anhang 4 Nummer 3.1.1,</w:t>
      </w:r>
    </w:p>
    <w:p>
      <w:pPr>
        <w:ind w:left="420"/>
      </w:pPr>
      <w:r>
        <w:t xml:space="preserve">8. zugehörige Analysenberichte über die Einhaltung der Zuordnungskriterien nach Anhang 3 Nummer 2 für die jeweilige Deponie, bei vorgemischten sowie bei teilweise stabilisierten und verfestigten Abfällen unter Beachtung von § 6 Absatz 1 Satz 5, bei vollständig stabilisierten Abfällen unter Beachtung von § 6 Absatz 2,</w:t>
      </w:r>
    </w:p>
    <w:p>
      <w:pPr>
        <w:ind w:left="420"/>
      </w:pPr>
      <w:r>
        <w:t xml:space="preserve">9. bei gefährlichen Abfällen zusätzlich Angaben über den Gesamtgehalt ablagerungsrelevanter Inhaltsstoffe im Feststoff, soweit dies für eine Beurteilung der Ablagerbarkeit erforderlich ist,</w:t>
      </w:r>
    </w:p>
    <w:p>
      <w:pPr>
        <w:ind w:left="420"/>
      </w:pPr>
      <w:r>
        <w:t xml:space="preserve">10. bei gefährlichen Abfällen im Fall von Spiegeleinträgen zusätzlich die relevanten gefährlichen Eigenschaften,</w:t>
      </w:r>
    </w:p>
    <w:p>
      <w:pPr>
        <w:ind w:left="420"/>
      </w:pPr>
      <w:r>
        <w:t xml:space="preserve">11. bei Abfällen nach Anhang V Teil 2 der Verordnung (EU) 2019/1021 in der jeweils geltenden Fassung, bei denen die Konzentrationsgrenzen der in Anhang IV derselben Verordnung aufgelisteten Stoffe überschritten sind und die auf einer Deponie der Klasse IV abgelagert werden sollen, ein von der zuständigen Behörde genehmigter Nachweis nach Artikel 7 Absatz 4 Buchstabe b Ziffer i der Verordnung (EU) 2019/1021,</w:t>
      </w:r>
    </w:p>
    <w:p>
      <w:pPr>
        <w:ind w:left="420"/>
      </w:pPr>
      <w:r>
        <w:t xml:space="preserve">12. Vorschlag für die Schlüsselparameter und deren Untersuchungshäufigkeit.</w:t>
      </w:r>
    </w:p>
    <w:p>
      <w:r>
        <w:t xml:space="preserve">Soweit nach § 50 oder § 51 des Kreislaufwirtschaftsgesetzes in Verbindung mit Teil 2 der Nachweisverordnung Entsorgungsnachweise oder Sammelentsorgungsnachweise zu führen sind, können die nach Satz 1 Nummer 1 bis 5 vorzulegenden Angaben durch die verantwortliche Erklärung nach der Nachweisverordnung ersetzt werden. Soweit im Fall von Satz 2 Deklarationsanalysen vorzulegen sind, sind die Analysenberichte nach Satz 1 Nummer 8 nur für die darüber hinaus erforderlichen Zuordnungskriterien gesondert vorzulegen. Zum 16. Juli 2009 vorliegende grundlegende Charakterisierungen und festgelegte Schlüsselparameter gelten bis zum Ende einer eventuellen Befristung fort. Der Deponiebetreiber hat vor der ersten Annahme eines Abfalls, ausgenommen Abfälle nach § 6 Absatz 1a Nummer 1 und Nummer 2, die Schlüsselparameter für die Kontrolluntersuchungen festzulegen. Führen Änderungen im abfallerzeugenden Prozess zu relevanten Änderungen des Auslaugverhaltens oder der Zusammensetzung des Abfalls, hat der Erzeuger, bei Sammelentsorgung der Einsammler, dem Deponiebetreiber erneut die nach Satz 1 erforderlichen Angaben vorzulegen. Der Deponiebetreiber hat in diesem Fall die Schlüsselparameter für die Kontrolluntersuchungen erneut festzulegen. Die Beprobung sowie die Abfalluntersuchungen für die Angaben nach den Sätzen 1, 3 und 6 sind nach Maßgabe des Anhangs 4 durchzuführen.</w:t>
      </w:r>
    </w:p>
    <w:p>
      <w:r>
        <w:t xml:space="preserve">(2) Abfalluntersuchungen für die grundlegende Charakterisierung nach Absatz 1 sind nicht erforderlich</w:t>
      </w:r>
    </w:p>
    <w:p>
      <w:pPr>
        <w:ind w:left="420"/>
      </w:pPr>
      <w:r>
        <w:t xml:space="preserve">1. bei asbesthaltigen Abfällen,</w:t>
      </w:r>
    </w:p>
    <w:p>
      <w:pPr>
        <w:ind w:left="420"/>
      </w:pPr>
      <w:r>
        <w:t xml:space="preserve">2. bei Abfällen, die andere gefährliche Mineralfasern enthalten, bei Abfällen nach § 6 Absatz 1a Nummer 1 und Nummer 2 sowie</w:t>
      </w:r>
    </w:p>
    <w:p>
      <w:pPr>
        <w:ind w:left="420"/>
      </w:pPr>
      <w:r>
        <w:t xml:space="preserve">3. bei Abfällen, über die alle notwendigen Informationen zum Auslaugverhalten und zur Zusammensetzung bekannt und gegenüber der für die Deponie zuständigen Behörde nachgewiesen sind.</w:t>
      </w:r>
    </w:p>
    <w:p>
      <w:r>
        <w:t xml:space="preserve">Bei geringen Mengen kann auch bei anderen Abfällen, soweit Art und Herkunft bekannt sind, mit Zustimmung der für die Deponie zuständigen Behörde auf die Abfalluntersuchungen nach Satz 1 verzichtet werden. Satz 1 Nummer 1 und 2 gilt bei asbesthaltigen Abfällen und bei Abfällen, die andere gefährliche Mineralfasern enthalten, nur, wenn keine Anhaltspunkte dafür vorliegen, dass diese Abfälle andere schädliche Verunreinigungen enthalten.</w:t>
      </w:r>
    </w:p>
    <w:p>
      <w:r>
        <w:t xml:space="preserve">(3) Der Abfallerzeuger, bei Sammelentsorgung der Einsammler, hat die Abfälle, die abgelagert werden sollen, stichprobenhaft je angefangene 1 000 Megagramm, mindestens aber jährlich, zu beproben und die Schlüsselparameter auf Einhaltung der Zuordnungskriterien des Anhangs 3 Nummer 2 für die jeweilige Deponie zu überprüfen. Bei Abfällen, die nicht regelmäßig anfallen, ist eine Untersuchung nach Satz 1 nicht erforderlich, wenn die gesamte zu deponierende Abfallmenge im Rahmen der grundlegenden Charakterisierung nach Anhang 4 beprobt und untersucht worden ist. Bei spezifischen Massenabfällen oder bei Abfällen, die eine Zustimmung der zuständigen Behörde nach § 6 Absatz 6 erfordern, kann die Häufigkeit der Beprobungen mit Zustimmung der für die Deponie zuständigen Behörde auf einmal alle drei Monate reduziert werden. Für die Probenahme gilt Anhang 4 Nummer 1 und 2. Die Probenvorbereitung ist nach Anhang 4 Nummer 3.1.1 durchzuführen. Die Überprüfung der Einhaltung der Zuordnungskriterien ist nach Anhang 3 Nummer 2, bei vorgemischten sowie bei teilweise stabilisierten und verfestigten Abfällen unter Beachtung der Voraussetzungen von § 6 Absatz 1 Satz 5, bei vollständig stabilisierten Abfällen unter Beachtung der Voraussetzungen von § 6 Absatz 2 durchzuführen und zu protokollieren. Bei Anlieferung des Abfalls sind dem Deponiebetreiber die Protokolle nach Satz 6 oder eine Erklärung der akkreditierten Untersuchungsstelle nach Anhang 4 Nummer 1 vorzulegen, dass sich Auslaugverhalten und Zusammensetzung des Abfalls gegenüber der grundlegenden Charakterisierung nicht geändert haben.</w:t>
      </w:r>
    </w:p>
    <w:p>
      <w:r>
        <w:t xml:space="preserve">(4) Der Deponiebetreiber hat bei jeder Abfallanlieferung unverzüglich eine Annahmekontrolle durchzuführen, die mindestens umfasst:</w:t>
      </w:r>
    </w:p>
    <w:p>
      <w:pPr>
        <w:ind w:left="420"/>
      </w:pPr>
      <w:r>
        <w:t xml:space="preserve">1. Prüfung, ob für den Abfall die grundlegende Charakterisierung vorliegt,</w:t>
      </w:r>
    </w:p>
    <w:p>
      <w:pPr>
        <w:ind w:left="420"/>
      </w:pPr>
      <w:r>
        <w:t xml:space="preserve">2. Feststellung der Masse, Kontrolle des Abfallschlüssels und der Abfallbezeichnung gemäß Anlage zur Abfallverzeichnis-Verordnung,</w:t>
      </w:r>
    </w:p>
    <w:p>
      <w:pPr>
        <w:ind w:left="420"/>
      </w:pPr>
      <w:r>
        <w:t xml:space="preserve">3. Kontrolle der Unterlagen nach Absatz 3 Satz 6 auf Übereinstimmung mit den Angaben der grundlegenden Charakterisierung,</w:t>
      </w:r>
    </w:p>
    <w:p>
      <w:pPr>
        <w:ind w:left="420"/>
      </w:pPr>
      <w:r>
        <w:t xml:space="preserve">4. Sichtkontrolle vor und nach dem Abladen,</w:t>
      </w:r>
    </w:p>
    <w:p>
      <w:pPr>
        <w:ind w:left="420"/>
      </w:pPr>
      <w:r>
        <w:t xml:space="preserve">5. Kontrolle auf Aussehen, Konsistenz, Farbe und Geruch.</w:t>
      </w:r>
    </w:p>
    <w:p>
      <w:r>
        <w:t xml:space="preserve">Soweit nach § 49 des Kreislaufwirtschaftsgesetzes in Verbindung mit Teil 3 der Nachweisverordnung Register zu führen sind, können die nach Satz 1 Nummer 2 zu kontrollierenden Maßgaben durch die Angaben im Register nach der Nachweisverordnung ersetzt werden.</w:t>
      </w:r>
    </w:p>
    <w:p>
      <w:r>
        <w:t xml:space="preserve">(5) Der Deponiebetreiber hat bei einem Abfall, der erstmalig nach Absatz 1 Satz 1 oder erneut nach Absatz 1 Satz 6 charakterisiert worden ist, bei einer Anlieferungsmenge von mehr als</w:t>
      </w:r>
    </w:p>
    <w:p>
      <w:pPr>
        <w:ind w:left="420"/>
      </w:pPr>
      <w:r>
        <w:t xml:space="preserve">1. 50 Megagramm bei gefährlichen Abfällen oder</w:t>
      </w:r>
    </w:p>
    <w:p>
      <w:pPr>
        <w:ind w:left="420"/>
      </w:pPr>
      <w:r>
        <w:t xml:space="preserve">2. 500 Megagramm bei nicht gefährlichen Abfällen und Inertabfällen</w:t>
      </w:r>
    </w:p>
    <w:p>
      <w:r>
        <w:t xml:space="preserve">von den ersten 50 beziehungsweise 500 Megagramm eine Kontrolluntersuchung auf Einhaltung der Zuordnungskriterien durchzuführen. In begründeten Einzelfällen ist eine Kontrolluntersuchung auf die Schlüsselparameter ausreichend. Die zuständige Behörde kann im Einzelfall eine höhere Anzahl von Kontrolluntersuchungen festlegen. Der Deponiebetreiber hat eine Kontrolluntersuchung auf Einhaltung der Zuordnungskriterien durchzuführen, wenn sich bei der Annahmekontrolle nach Absatz 4 Anhaltspunkte dafür ergeben, dass die Anforderungen an die Beschaffenheit der Abfälle für die vorgesehene Ablagerung nicht erfüllt sind oder wenn Unstimmigkeiten zwischen Begleitpapieren und angeliefertem Abfall bestehen. Im Übrigen hat der Deponiebetreiber bei nicht gefährlichen Abfällen von mehr als 500 Megagramm stichprobenartig eine Kontrolluntersuchung der Schlüsselparameter je angefangene 5 000 Megagramm desselben jeweils grundlegend charakterisierten und des nachfolgend angelieferten Abfalls, mindestens aber eine Kontrolluntersuchung jährlich durchzuführen. Bei gefährlichen Abfällen von mehr als 50 Megagramm hat er stichprobenartig eine Kontrolluntersuchung der Schlüsselparameter je angefangene 2 500 Megagramm desselben jeweils grundlegend charakterisierten und des nachfolgend angelieferten Abfalls, mindestens aber eine Kontrolluntersuchung jährlich durchzuführen. Bei spezifischen Massenabfällen und Abfällen nach § 6 Absatz 6 kann die Anzahl der Kontrolluntersuchungen abweichend von den Sätzen 5 und 6 mit Zustimmung der zuständigen Behörde auf eine Untersuchung jährlich reduziert werden. Die Kontrolluntersuchungen sind nach Maßgabe des Anhangs 4 Nummer 3, bei vorgemischten sowie bei teilweise stabilisierten und verfestigten Abfällen unter Beachtung von § 6 Absatz 1 Satz 5, bei vollständig stabilisierten Abfällen unter Beachtung von § 6 Absatz 2 durchzuführen und nach Anhang 4 Nummer 4 zu bewerten. Bei asbesthaltigen Abfällen und Abfällen, die andere gefährliche Mineralfasern enthalten, kann auf eine Kontrolluntersuchung verzichtet werden. In diesem Fall ist vom Abfallerzeuger eine Erklärung abzugeben, dass der angelieferte Abfall dem grundlegend charakterisierten Abfall entspricht und eine Überschreitung der Zuordnungskriterien der jeweiligen Deponieklasse nicht zu erwarten ist.</w:t>
      </w:r>
    </w:p>
    <w:p>
      <w:r>
        <w:t xml:space="preserve">(6) Wird eine Deponie am Standort eines Unternehmens direkt und ausschließlich mit Abfällen dieses Unternehmens beschickt, kann die zuständige Behörde auf Antrag des Deponiebetreibers Abweichungen von den Absätzen 4 und 5 zulassen.</w:t>
      </w:r>
    </w:p>
    <w:p>
      <w:r>
        <w:t xml:space="preserve">(7) Wird nach Maßgabe des Absatzes 5 eine Kontrolluntersuchung durchgeführt, hat der Deponiebetreiber bei der Abfallanlieferung von dem angelieferten Abfall eine Rückstellprobe zu nehmen und mindestens einen Monat aufzubewahren.</w:t>
      </w:r>
    </w:p>
    <w:p>
      <w:r>
        <w:t xml:space="preserve">(8) Abweichend von den Absätzen 1, 3 und 5 sind bei den in der nachfolgenden Tabelle aufgeführten Inertabfällen Untersuchungen für die grundlegende Charakterisierung sowie Kontrolluntersuchungen nicht erforderlich, wenn</w:t>
      </w:r>
    </w:p>
    <w:p>
      <w:pPr>
        <w:ind w:left="420"/>
      </w:pPr>
      <w:r>
        <w:t xml:space="preserve">1. der Abfall von nur einer Anfallstelle stammt,</w:t>
      </w:r>
    </w:p>
    <w:p>
      <w:pPr>
        <w:ind w:left="420"/>
      </w:pPr>
      <w:r>
        <w:t xml:space="preserve">2. keine Anhaltspunkte bestehen, dass die Zuordnungskriterien des Anhangs 3 für die Deponieklasse 0 überschritten werden,</w:t>
      </w:r>
    </w:p>
    <w:p>
      <w:pPr>
        <w:ind w:left="420"/>
      </w:pPr>
      <w:r>
        <w:t xml:space="preserve">3. keine Anhaltspunkte bestehen, dass der Abfall durch Schadstoffe, für die in Anhang 3 keine Zuordnungskriterien festgelegt sind, so verunreinigt ist, dass das Wohl der Allgemeinheit bei einer Ablagerung beeinträchtigt wird, und</w:t>
      </w:r>
    </w:p>
    <w:p>
      <w:pPr>
        <w:ind w:left="420"/>
      </w:pPr>
      <w:r>
        <w:t xml:space="preserve">4. der Abfall nicht mehr als 5 Volumenprozent an mineralischen oder inerten Fremdstoffen enthält.</w:t>
      </w:r>
    </w:p>
    <w:p>
      <w:r>
        <w:rPr>
          <w:rFonts w:ascii="Courier New" w:hAnsi="Courier New"/>
          <w:sz w:val="17"/>
        </w:rPr>
        <w:t xml:space="preserve">Abfallschlüssel gemäß Anlage zur Abfallverzeichnis- Verordnung    Beschreibung    Einschränkungen</w:t>
      </w:r>
    </w:p>
    <w:p>
      <w:r>
        <w:rPr>
          <w:rFonts w:ascii="Courier New" w:hAnsi="Courier New"/>
          <w:sz w:val="17"/>
        </w:rPr>
        <w:t xml:space="preserve">10 11 03    Glasfaserabfall    Nur ohne organische Bindemittel</w:t>
      </w:r>
    </w:p>
    <w:p>
      <w:r>
        <w:rPr>
          <w:rFonts w:ascii="Courier New" w:hAnsi="Courier New"/>
          <w:sz w:val="17"/>
        </w:rPr>
        <w:t xml:space="preserve">15 01 07    Verpackungen aus Glas    </w:t>
      </w:r>
    </w:p>
    <w:p>
      <w:r>
        <w:rPr>
          <w:rFonts w:ascii="Courier New" w:hAnsi="Courier New"/>
          <w:sz w:val="17"/>
        </w:rPr>
        <w:t xml:space="preserve">17 01 01    Beton    Nur ausgewählte Abfälle aus Bau- und Abbruchmaßnahmen</w:t>
      </w:r>
    </w:p>
    <w:p>
      <w:r>
        <w:rPr>
          <w:rFonts w:ascii="Courier New" w:hAnsi="Courier New"/>
          <w:sz w:val="17"/>
        </w:rPr>
        <w:t xml:space="preserve">17 01 02    Ziegel    Nur ausgewählte Abfälle aus Bau- und Abbruchmaßnahmen</w:t>
      </w:r>
    </w:p>
    <w:p>
      <w:r>
        <w:rPr>
          <w:rFonts w:ascii="Courier New" w:hAnsi="Courier New"/>
          <w:sz w:val="17"/>
        </w:rPr>
        <w:t xml:space="preserve">17 01 03    Fliesen, Ziegel und Keramik    Nur ausgewählte Abfälle aus Bau- und Abbruchmaßnahmen</w:t>
      </w:r>
    </w:p>
    <w:p>
      <w:r>
        <w:rPr>
          <w:rFonts w:ascii="Courier New" w:hAnsi="Courier New"/>
          <w:sz w:val="17"/>
        </w:rPr>
        <w:t xml:space="preserve">17 01 07    Gemische aus Beton, Ziegeln, Fliesen und Keramik    Nur ausgewählte Abfälle aus Bau- und Abbruchmaßnahmen</w:t>
      </w:r>
    </w:p>
    <w:p>
      <w:r>
        <w:rPr>
          <w:rFonts w:ascii="Courier New" w:hAnsi="Courier New"/>
          <w:sz w:val="17"/>
        </w:rPr>
        <w:t xml:space="preserve">17 02 02    Glas    </w:t>
      </w:r>
    </w:p>
    <w:p>
      <w:r>
        <w:rPr>
          <w:rFonts w:ascii="Courier New" w:hAnsi="Courier New"/>
          <w:sz w:val="17"/>
        </w:rPr>
        <w:t xml:space="preserve">17 05 04    Boden und Steine    Ausgenommen Oberboden und Torf sowie Boden und Steine aus Flächen mit schädlichen Bodenveränderungen im Sinne von § 2 Absatz 3 des Bundes-Bodenschutzgesetzes</w:t>
      </w:r>
    </w:p>
    <w:p>
      <w:r>
        <w:rPr>
          <w:rFonts w:ascii="Courier New" w:hAnsi="Courier New"/>
          <w:sz w:val="17"/>
        </w:rPr>
        <w:t xml:space="preserve">19 12 05    Glas    </w:t>
      </w:r>
    </w:p>
    <w:p>
      <w:r>
        <w:rPr>
          <w:rFonts w:ascii="Courier New" w:hAnsi="Courier New"/>
          <w:sz w:val="17"/>
        </w:rPr>
        <w:t xml:space="preserve">20 01 02    Glas    Nur getrennt gesammeltes Glas</w:t>
      </w:r>
    </w:p>
    <w:p>
      <w:r>
        <w:rPr>
          <w:rFonts w:ascii="Courier New" w:hAnsi="Courier New"/>
          <w:sz w:val="17"/>
        </w:rPr>
        <w:t xml:space="preserve">20 02 02    Boden und Steine    Nur Abfälle aus Gärten und Parkanlagen; ausgenommen Oberboden und Torf</w:t>
      </w:r>
    </w:p>
    <w:p>
      <w:r>
        <w:t xml:space="preserve">(8a) Überprüfungen nach Absatz 3 und Kontrollen nach Absatz 5, ausgenommen diejenigen nach Satz 4, sind für Abfälle nach § 6 Absatz 1a Nummer 1 und Nummer 2 nicht erforderlich. Abweichend von Absatz 1 Satz 1 Nummer 6 bis 8 und Nummer 12 sowie von Absatz 4 Satz 1 Nummer 3 ist für diese Abfälle die Einhaltung der Materialwerte der Anlage 1 der Ersatzbaustoffverordnung und gegebenenfalls die Klasse des mineralischen Ersatzbaustoffs jeweils durch die Dokumentation nach § 12 Absatz 1 Satz 1 der Ersatzbaustoffverordnung nachzuweisen. Für nicht aufbereitetes Bodenmaterial und nicht aufbereitetes Baggergut ist die Einhaltung der Materialwerte der Anlage 1 der Ersatzbaustoffverordnung und die Klasse des Bodenmaterials oder des Baggerguts durch die Dokumente nach § 17 der Ersatzbaustoffverordnung nachzuweisen.</w:t>
      </w:r>
    </w:p>
    <w:p>
      <w:r>
        <w:t xml:space="preserve">(9) Der Deponiebetreiber hat für jede Abfallanlieferung eine Eingangsbestätigung unter Angabe der festgestellten Masse und des sechsstelligen Abfallschlüssels gemäß der Anlage zur Abfallverzeichnis-Verordnung auszustellen. Wird die Übergabe der Abfälle mittels Begleitschein oder Übernahmeschein nach der Nachweisverordnung bestätigt, so ersetzen diese Nachweise die Eingangsbestätigung nach Satz 1. Bei Deponien der Klasse 0 und bei Monodeponien kann die zuständige Behörde auf Antrag des Betreibers davon abweichende Regelungen treffen.</w:t>
      </w:r>
    </w:p>
    <w:p>
      <w:r>
        <w:t xml:space="preserve">(10) Der Deponiebetreiber hat die zuständige Behörde unverzüglich über angelieferte, zur Ablagerung auf der Deponie nicht zugelassene Abfälle zu informieren.</w:t>
      </w:r>
    </w:p>
    <w:p>
      <w:r>
        <w:t xml:space="preserve">(11) Für die Annahme von Abfällen in Anlagen, in denen diese Abfälle durch Vermischung oder Behandlung zu den in § 6 Absatz 1 Satz 5 und Absatz 2 genannten Abfällen aufbereitet werden, bevor sie auf einer Deponie abgelagert werden, gelten die Absätze 1, 3, 4 und 5 entsprechend. Darüber hinaus hat der Zweiterzeuger den aufbereiteten Abfall oder Deponieersatzbaustoff gegenüber dem Deponiebetreiber grundlegend zu charakterisieren und diesem zusätzlich folgende Angaben vorzulegen:</w:t>
      </w:r>
    </w:p>
    <w:p>
      <w:pPr>
        <w:ind w:left="420"/>
      </w:pPr>
      <w:r>
        <w:t xml:space="preserve">1. Abfallschlüssel und Abfallbezeichnung nach § 2 Absatz 1 der Abfallverzeichnis-Verordnung der Abfälle, die in dem aufbereiteten Abfall enthalten sind,</w:t>
      </w:r>
    </w:p>
    <w:p>
      <w:pPr>
        <w:ind w:left="420"/>
      </w:pPr>
      <w:r>
        <w:t xml:space="preserve">2. Erklärung, dass die Abfälle, die in dem aufbereiteten Abfall enthalten sind, die Zuordnungskriterien vor dem Vermischen oder der Behandlung eingehalten haben.</w:t>
      </w:r>
    </w:p>
    <w:p>
      <w:r>
        <w:t xml:space="preserve">Die Erklärung nach Satz 2 Nummer 2 entfällt, wenn die Einhaltung der Zuordnungskriterien mit dem Verfahren nach § 6 Absatz 2 Nummer 1 bis 3 nachgewiesen wird.</w:t>
      </w:r>
    </w:p>
    <w:p>
      <w:r>
        <w:rPr>
          <w:color w:val="555555"/>
          <w:sz w:val="17"/>
        </w:rPr>
        <w:t xml:space="preserve">Zitiervorschlag: § 8 DepV 2009</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https://recht.nulegal.eu/gesetze/DepV%202009/8</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