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DepV 2009 — Nicht zugelassene Abfälle</w:t>
      </w:r>
    </w:p>
    <w:p>
      <w:r>
        <w:rPr>
          <w:color w:val="555555"/>
          <w:sz w:val="18"/>
        </w:rPr>
        <w:t xml:space="preserve">Deponieverordnung</w:t>
      </w:r>
    </w:p>
    <w:p>
      <w:r>
        <w:rPr>
          <w:color w:val="555555"/>
          <w:sz w:val="18"/>
        </w:rPr>
        <w:t xml:space="preserve">Stand: 01.01.2024 (konsolidierte Textfassung, kein amtliches Inkrafttretensdatum)</w:t>
      </w:r>
    </w:p>
    <w:p>
      <w:r>
        <w:t xml:space="preserve">(1) Folgende Abfälle dürfen nicht auf einer Deponie der Klasse 0, I, II oder III abgelagert werden:</w:t>
      </w:r>
    </w:p>
    <w:p>
      <w:pPr>
        <w:ind w:left="420"/>
      </w:pPr>
      <w:r>
        <w:t xml:space="preserve">1. flüssige Abfälle,</w:t>
      </w:r>
    </w:p>
    <w:p>
      <w:pPr>
        <w:ind w:left="420"/>
      </w:pPr>
      <w:r>
        <w:t xml:space="preserve">2. Abfälle, die nach Anhang III der Richtlinie 2008/98/EG des Europäischen Parlaments und des Rates vom 19. November 2008 über Abfälle und zur Aufhebung bestimmter Richtlinien (ABl. L 312 vom 22.11.2008, S. 3, L 127 vom 26.5.2009, S. 24), die durch die Verordnung (EU) Nr. 1357/2014 (ABl. L 365 vom 19.12.2014, S. 89) geändert worden ist, als explosiv, brandfördernd, entzündbar oder ätzend eingestuft werden,</w:t>
      </w:r>
    </w:p>
    <w:p>
      <w:pPr>
        <w:ind w:left="420"/>
      </w:pPr>
      <w:r>
        <w:t xml:space="preserve">3. infektiöse Abfälle (Abfallschlüssel 18 01 03 und 18 02 02 der Anlage zur Abfallverzeichnis-Verordnung), Körperteile und Organe (Abfallschlüssel 18 01 02 der Anlage zur Abfallverzeichnis-Verordnung),</w:t>
      </w:r>
    </w:p>
    <w:p>
      <w:pPr>
        <w:ind w:left="420"/>
      </w:pPr>
      <w:r>
        <w:t xml:space="preserve">4. nicht identifizierte oder neue chemische Abfälle aus Forschungs-, Entwicklungs- und Ausbildungstätigkeiten, deren Auswirkungen auf den Menschen und die Umwelt nicht bekannt sind,</w:t>
      </w:r>
    </w:p>
    <w:p>
      <w:pPr>
        <w:ind w:left="420"/>
      </w:pPr>
      <w:r>
        <w:t xml:space="preserve">5. ganze oder zerteilte Altreifen,</w:t>
      </w:r>
    </w:p>
    <w:p>
      <w:pPr>
        <w:ind w:left="420"/>
      </w:pPr>
      <w:r>
        <w:t xml:space="preserve">6. Abfälle, die zu erheblichen Geruchsbelästigungen für die auf der Deponie Beschäftigten und für die Nachbarschaft führen, und</w:t>
      </w:r>
    </w:p>
    <w:p>
      <w:pPr>
        <w:ind w:left="420"/>
      </w:pPr>
      <w:r>
        <w:t xml:space="preserve">7. Abfälle nach Anhang V Teil 2 der Verordnung (EU) 2019/1021 des Europäischen Parlaments und des Rates vom 20. Juni 2019 über persistente organische Schadstoffe (ABl. L 169 vom 25.6.2019, S. 45) in der jeweils geltenden Fassung, bei denen die Konzentrationsgrenzen der in Anhang IV derselben Verordnung aufgelisteten Stoffe überschritten sind, sowie andere Abfälle, bei denen auf Grund der Herkunft oder Beschaffenheit durch die Ablagerung wegen ihres Gehaltes an langlebigen oder bioakkumulierbaren toxischen Stoffen eine Beeinträchtigung des Wohles der Allgemeinheit zu besorgen ist.</w:t>
      </w:r>
    </w:p>
    <w:p>
      <w:r>
        <w:t xml:space="preserve">(2) Folgende Abfälle dürfen nicht in einer Deponie der Klasse IV abgelagert werden:</w:t>
      </w:r>
    </w:p>
    <w:p>
      <w:pPr>
        <w:ind w:left="420"/>
      </w:pPr>
      <w:r>
        <w:t xml:space="preserve">1. die in Absatz 1 Nummer 1, 3 bis 6 genannten Abfälle,</w:t>
      </w:r>
    </w:p>
    <w:p>
      <w:pPr>
        <w:ind w:left="420"/>
      </w:pPr>
      <w:r>
        <w:t xml:space="preserve">2. biologisch abbaubare Abfälle,</w:t>
      </w:r>
    </w:p>
    <w:p>
      <w:pPr>
        <w:ind w:left="420"/>
      </w:pPr>
      <w:r>
        <w:t xml:space="preserve">3. Abfälle mit einem Brennwert (Ho) von mehr als 6 000 Kilojoule pro Kilogramm Trockenmasse (TM), es sei denn, die zuständige Behörde hat einem höheren Brennwert zugestimmt, weil</w:t>
      </w:r>
    </w:p>
    <w:p>
      <w:pPr>
        <w:ind w:left="780"/>
      </w:pPr>
      <w:r>
        <w:t xml:space="preserve">a) er durch elementaren Kohlenstoff, anorganische Stoffe oder prozessbedingt in Reaktions- und Destillationsrückständen, die in einem Eluat nach Anhang 4 Nummer 3.2.1.1 einen Gesamtgehalt an gelösten Feststoffen von mehr als 10 000 Milligramm pro Liter aufweisen, verursacht und jeweils nachgewiesen wird, dass keine anderweitige Behandlung technisch möglich oder wirtschaftlich zumutbar ist,</w:t>
      </w:r>
    </w:p>
    <w:p>
      <w:pPr>
        <w:ind w:left="780"/>
      </w:pPr>
      <w:r>
        <w:t xml:space="preserve">b) es sich um schwermetallbelastete Ionenaustauscherharze aus der Trinkwasserbehandlung oder um quecksilberhaltige Abfälle handelt oder</w:t>
      </w:r>
    </w:p>
    <w:p>
      <w:pPr>
        <w:ind w:left="780"/>
      </w:pPr>
      <w:r>
        <w:t xml:space="preserve">c) die Ablagerung in einer Deponie der Klasse IV die umweltverträglichste Lösung ist,</w:t>
      </w:r>
    </w:p>
    <w:p>
      <w:pPr>
        <w:ind w:left="420"/>
      </w:pPr>
      <w:r>
        <w:t xml:space="preserve">4. Abfälle, die unter Ablagerungsbedingungen durch Reaktionen untereinander oder mit dem Gestein zu</w:t>
      </w:r>
    </w:p>
    <w:p>
      <w:pPr>
        <w:ind w:left="780"/>
      </w:pPr>
      <w:r>
        <w:t xml:space="preserve">a) Volumenvergrößerungen,</w:t>
      </w:r>
    </w:p>
    <w:p>
      <w:pPr>
        <w:ind w:left="780"/>
      </w:pPr>
      <w:r>
        <w:t xml:space="preserve">b) einer Bildung selbstentzündlicher, toxischer oder explosiver Stoffe oder Gase oder zu</w:t>
      </w:r>
    </w:p>
    <w:p>
      <w:pPr>
        <w:ind w:left="780"/>
      </w:pPr>
      <w:r>
        <w:t xml:space="preserve">c) anderen gefährlichen Reaktionen</w:t>
      </w:r>
    </w:p>
    <w:p>
      <w:pPr>
        <w:ind w:left="420"/>
      </w:pPr>
      <w:r>
        <w:t xml:space="preserve">führen, soweit die Betriebssicherheit und die Integrität der Barrieren dadurch in Frage gestellt werden,</w:t>
      </w:r>
    </w:p>
    <w:p>
      <w:pPr>
        <w:ind w:left="420"/>
      </w:pPr>
      <w:r>
        <w:t xml:space="preserve">5. Abfälle, die unter Ablagerungsbedingungen</w:t>
      </w:r>
    </w:p>
    <w:p>
      <w:pPr>
        <w:ind w:left="780"/>
      </w:pPr>
      <w:r>
        <w:t xml:space="preserve">a) explosionsgefährlich, hoch entzündlich oder leicht entzündlich sind,</w:t>
      </w:r>
    </w:p>
    <w:p>
      <w:pPr>
        <w:ind w:left="780"/>
      </w:pPr>
      <w:r>
        <w:t xml:space="preserve">b) stechenden Geruch freisetzen oder</w:t>
      </w:r>
    </w:p>
    <w:p>
      <w:pPr>
        <w:ind w:left="780"/>
      </w:pPr>
      <w:r>
        <w:t xml:space="preserve">c) keine ausreichende Stabilität gegenüber den geomechanischen Bedingungen aufweisen.</w:t>
      </w:r>
    </w:p>
    <w:p>
      <w:r>
        <w:t xml:space="preserve">(3) Folgende Abfälle dürfen nicht durch den Abfallerzeuger und Abfallbesitzer einer Deponie der Klasse 0, I, II, III oder IV zur Ablagerung zugeführt werden:</w:t>
      </w:r>
    </w:p>
    <w:p>
      <w:pPr>
        <w:ind w:left="420"/>
      </w:pPr>
      <w:r>
        <w:t xml:space="preserve">1. Abfälle, die zur Vorbereitung zur Wiederverwendung oder zum Recycling getrennt gesammelt werden; ausgenommen hiervon sind diejenigen Abfälle,</w:t>
      </w:r>
    </w:p>
    <w:p>
      <w:pPr>
        <w:ind w:left="780"/>
      </w:pPr>
      <w:r>
        <w:t xml:space="preserve">a) die bei der anschließenden Behandlung getrennt gesammelter Abfälle entstehen und</w:t>
      </w:r>
    </w:p>
    <w:p>
      <w:pPr>
        <w:ind w:left="780"/>
      </w:pPr>
      <w:r>
        <w:t xml:space="preserve">b) bei denen eine Ablagerung auf Deponien den Schutz von Mensch und Umwelt am besten oder in gleichwertiger Weise wie die Vorbereitung zur Wiederverwendung und das Recycling gewährleistet, oder</w:t>
      </w:r>
    </w:p>
    <w:p>
      <w:pPr>
        <w:ind w:left="420"/>
      </w:pPr>
      <w:r>
        <w:t xml:space="preserve">2. Abfälle, die einer Verwertung zugeführt werden können; ausgenommen hiervon sind diejenigen Abfälle, bei denen eine Ablagerung auf Deponien den Schutz von Mensch und Umwelt am besten oder in gleichwertiger Weise wie die Vorbereitung zur Wiederverwendung und das Recycling gewährleistet.</w:t>
      </w:r>
    </w:p>
    <w:p>
      <w:r>
        <w:t xml:space="preserve">Die in § 6 Absatz 2 Satz 2 und 3 des Kreislaufwirtschaftsgesetzes festgelegten Kriterien sind zu berücksichtigen. § 7 Absatz 4 des Kreislaufwirtschaftsgesetzes gilt entsprechend.</w:t>
      </w:r>
    </w:p>
    <w:p>
      <w:r>
        <w:rPr>
          <w:color w:val="555555"/>
          <w:sz w:val="17"/>
        </w:rPr>
        <w:t xml:space="preserve">Zitiervorschlag: § 7 DepV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https://recht.nulegal.eu/gesetze/DepV%202009/7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