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DepV 2009 — Voraussetzungen für die Ablagerung</w:t>
      </w:r>
    </w:p>
    <w:p>
      <w:r>
        <w:rPr>
          <w:color w:val="555555"/>
          <w:sz w:val="18"/>
        </w:rPr>
        <w:t xml:space="preserve">Deponieverordnung</w:t>
      </w:r>
    </w:p>
    <w:p>
      <w:r>
        <w:rPr>
          <w:color w:val="555555"/>
          <w:sz w:val="18"/>
        </w:rPr>
        <w:t xml:space="preserve">Stand: 01.08.2023 (konsolidierte Textfassung, kein amtliches Inkrafttretensdatum)</w:t>
      </w:r>
    </w:p>
    <w:p>
      <w:r>
        <w:t xml:space="preserve">(1) Abfälle dürfen auf Deponien oder Deponieabschnitten nur abgelagert werden, wenn die jeweiligen Annahmekriterien nach den Absätzen 3 bis 5, bei vollständig stabilisierten Abfällen (Abfallschlüssel 19 03 05 der Anlage zur Abfallverzeichnis-Verordnung) zusätzlich die Anforderungen nach Absatz 2, bereits bei der Anlieferung eingehalten werden. Die Annahmekriterien sind im einzelnen Abfall, ohne Vermischung mit anderen Stoffen oder Abfällen, einzuhalten. Soweit es zur Einhaltung der Annahmekriterien erforderlich ist, sind Abfälle vor der Ablagerung zu behandeln. Die Behandlung ist ausreichend, wenn das Behandlungsergebnis irreversibel ist und die Annahmekriterien durch die Behandlung dauerhaft eingehalten werden. Satz 2 gilt bei vorgemischten Abfällen (Abfallschlüssel 19 02 03, 19 02 04 der Anlage zur Abfallverzeichnis-Verordnung) sowie bei teilweise stabilisierten und verfestigten Abfällen (Abfallschlüssel 19 03 04, 19 03 06, 19 03 07 der Anlage zur Abfallverzeichnis-Verordnung) für den jeweiligen Abfall vor der Behandlung.</w:t>
      </w:r>
    </w:p>
    <w:p>
      <w:r>
        <w:t xml:space="preserve">(1a) Folgende mineralische Ersatzbaustoffe im Sinne von § 2 Nummer 1 der Ersatzbaustoffverordnung vom 9. Juli 2021 (BGBl. I S. 2598), die als Abfall anfallen und die nach Abschnitt 3 Unterabschnitt 1 der Ersatzbaustoffverordnung güteüberwacht und klassifiziert sind oder nicht aufbereitetes Bodenmaterial und nicht aufbereitetes Baggergut, das nach Abschnitt 3 Unterabschnitt 2 der Ersatzbaustoffverordnung untersucht und klassifiziert ist, gelten ohne Beprobung nach Anhang 4 bei Anlieferung zur Deponie als</w:t>
      </w:r>
    </w:p>
    <w:p>
      <w:pPr>
        <w:ind w:left="420"/>
      </w:pPr>
      <w:r>
        <w:t xml:space="preserve">1. nicht gefährliche Abfälle, die die Zuordnungskriterien des Anhangs 3 Nummer 2 für die Deponieklasse I einhalten</w:t>
      </w:r>
    </w:p>
    <w:p>
      <w:pPr>
        <w:ind w:left="780"/>
      </w:pPr>
      <w:r>
        <w:t xml:space="preserve">a) Bodenmaterial der Klasse F2 oder F3 – BM-F2, BM-F3 –,</w:t>
      </w:r>
    </w:p>
    <w:p>
      <w:pPr>
        <w:ind w:left="780"/>
      </w:pPr>
      <w:r>
        <w:t xml:space="preserve">b) Baggergut der Klasse F2 oder F3 – BG-F2, BG-F3 –,</w:t>
      </w:r>
    </w:p>
    <w:p>
      <w:pPr>
        <w:ind w:left="780"/>
      </w:pPr>
      <w:r>
        <w:t xml:space="preserve">c) Stahlwerksschlacke der Klasse 1 oder 2 – SWS-1, SWS-2,</w:t>
      </w:r>
    </w:p>
    <w:p>
      <w:pPr>
        <w:ind w:left="780"/>
      </w:pPr>
      <w:r>
        <w:t xml:space="preserve">d) Hochofenstückschlacke der Klasse 1 oder 2 – HOS-1, HOS-2 –,</w:t>
      </w:r>
    </w:p>
    <w:p>
      <w:pPr>
        <w:ind w:left="780"/>
      </w:pPr>
      <w:r>
        <w:t xml:space="preserve">e) Hüttensand – HS –,</w:t>
      </w:r>
    </w:p>
    <w:p>
      <w:pPr>
        <w:ind w:left="780"/>
      </w:pPr>
      <w:r>
        <w:t xml:space="preserve">f) Gießereikupolofenschlacke – GKOS –,</w:t>
      </w:r>
    </w:p>
    <w:p>
      <w:pPr>
        <w:ind w:left="780"/>
      </w:pPr>
      <w:r>
        <w:t xml:space="preserve">g) Gießereirestsand der Klasse 1 – GRS-1 –,</w:t>
      </w:r>
    </w:p>
    <w:p>
      <w:pPr>
        <w:ind w:left="780"/>
      </w:pPr>
      <w:r>
        <w:t xml:space="preserve">h) Kupferhüttenmaterial der Klasse 1 oder 2 – CUM-1, CUM-2 –,</w:t>
      </w:r>
    </w:p>
    <w:p>
      <w:pPr>
        <w:ind w:left="780"/>
      </w:pPr>
      <w:r>
        <w:t xml:space="preserve">i) Steinkohlenkesselasche – SKA –,</w:t>
      </w:r>
    </w:p>
    <w:p>
      <w:pPr>
        <w:ind w:left="780"/>
      </w:pPr>
      <w:r>
        <w:t xml:space="preserve">j) Braunkohlenflugasche – BFA –,</w:t>
      </w:r>
    </w:p>
    <w:p>
      <w:pPr>
        <w:ind w:left="780"/>
      </w:pPr>
      <w:r>
        <w:t xml:space="preserve">k) Hausmüllverbrennungsasche der Klasse 1 oder 2 – HMVA-1, HMVA-2,</w:t>
      </w:r>
    </w:p>
    <w:p>
      <w:pPr>
        <w:ind w:left="780"/>
      </w:pPr>
      <w:r>
        <w:t xml:space="preserve">l) Recycling-Baustoff der Klasse 1, 2 oder 3 – RC-1, RC-2, RC-3 –</w:t>
      </w:r>
    </w:p>
    <w:p>
      <w:pPr>
        <w:ind w:left="780"/>
      </w:pPr>
      <w:r>
        <w:t xml:space="preserve">m) Gleisschotter der Klasse 2 oder 3 – GS-2, GS-3 –</w:t>
      </w:r>
    </w:p>
    <w:p>
      <w:r>
        <w:t xml:space="preserve">oder</w:t>
      </w:r>
    </w:p>
    <w:p>
      <w:pPr>
        <w:ind w:left="420"/>
      </w:pPr>
      <w:r>
        <w:t xml:space="preserve">2. als Inertabfälle, die die Zuordnungskriterien des Anhangs 3 Nummer 2 für die Deponieklasse 0 einhalten</w:t>
      </w:r>
    </w:p>
    <w:p>
      <w:pPr>
        <w:ind w:left="780"/>
      </w:pPr>
      <w:r>
        <w:t xml:space="preserve">a) Bodenmaterial der Klasse 0, 0*, F0* oder F1 – BM-0, BM-0*, BM-F0*, BM-F1 –,</w:t>
      </w:r>
    </w:p>
    <w:p>
      <w:pPr>
        <w:ind w:left="780"/>
      </w:pPr>
      <w:r>
        <w:t xml:space="preserve">b) Baggergut der Klasse 0, 0*, F0* oder F1 – BG-0, BG-0*, BG-F0*, BG-F1 –,</w:t>
      </w:r>
    </w:p>
    <w:p>
      <w:pPr>
        <w:ind w:left="780"/>
      </w:pPr>
      <w:r>
        <w:t xml:space="preserve">c) Gleisschotter der Klasse 0 oder 1 – GS-0, GS-1 – und</w:t>
      </w:r>
    </w:p>
    <w:p>
      <w:pPr>
        <w:ind w:left="780"/>
      </w:pPr>
      <w:r>
        <w:t xml:space="preserve">d) Schmelzkammergranulat – SKG –.</w:t>
      </w:r>
    </w:p>
    <w:p>
      <w:r>
        <w:t xml:space="preserve">Eine andere Zuordnung der in Satz 1 Nummer 1 und 2 genannten mineralischen Ersatzbaustoffe zu den Deponieklassen kann durch eine Beprobung und Abfalluntersuchung nach Anhang 4 erfolgen.</w:t>
      </w:r>
    </w:p>
    <w:p>
      <w:r>
        <w:t xml:space="preserve">(2) Für vollständig stabilisierte Abfälle (Abfallschlüssel 19 03 05 der Anlage zur Abfallverzeichnis-Verordnung) gilt, dass nach der Stabilisierung</w:t>
      </w:r>
    </w:p>
    <w:p>
      <w:pPr>
        <w:ind w:left="420"/>
      </w:pPr>
      <w:r>
        <w:t xml:space="preserve">1. die Bestimmung aller Zuordnungswerte nach Anhang 3 Nummer 2 aus einem Eluat bei jeweils konstantem pH-Wert 4 und 11 nach Anhang 4 Nummer 3.2.1.2 erfolgt,</w:t>
      </w:r>
    </w:p>
    <w:p>
      <w:pPr>
        <w:ind w:left="420"/>
      </w:pPr>
      <w:r>
        <w:t xml:space="preserve">2. die Abfallproben nach der Aushärtung bei einer Aushärtungszeit von längstens 28 Tagen für die Elution auf die Korngröße kleiner oder gleich 10 Millimeter zerkleinert werden und</w:t>
      </w:r>
    </w:p>
    <w:p>
      <w:pPr>
        <w:ind w:left="420"/>
      </w:pPr>
      <w:r>
        <w:t xml:space="preserve">3. bei der Bewertung der Messergebnisse (Feststoff- und Eluatwerte) die Masse der zugesetzten Stoffe berücksichtigt wird,</w:t>
      </w:r>
    </w:p>
    <w:p>
      <w:r>
        <w:t xml:space="preserve">es sei denn, die jeweiligen Abfälle halten die Annahmekriterien vor der Stabilisierung ein.</w:t>
      </w:r>
    </w:p>
    <w:p>
      <w:r>
        <w:t xml:space="preserve">(3) Gefährliche Abfälle dürfen nur abgelagert werden</w:t>
      </w:r>
    </w:p>
    <w:p>
      <w:pPr>
        <w:ind w:left="420"/>
      </w:pPr>
      <w:r>
        <w:t xml:space="preserve">1. auf Deponien oder Deponieabschnitten, die alle Anforderungen für die Deponieklasse III erfüllen und wenn die Zuordnungskriterien des Anhangs 3 Nummer 2 für die Deponieklasse III eingehalten werden, oder</w:t>
      </w:r>
    </w:p>
    <w:p>
      <w:pPr>
        <w:ind w:left="420"/>
      </w:pPr>
      <w:r>
        <w:t xml:space="preserve">2. auf Deponien, die alle Anforderungen für die Deponieklasse IV erfüllen.</w:t>
      </w:r>
    </w:p>
    <w:p>
      <w:r>
        <w:t xml:space="preserve">Abweichend von Satz 1 können gefährliche Abfälle, die die Zuordnungskriterien des Anhangs 3 Nummer 2</w:t>
      </w:r>
    </w:p>
    <w:p>
      <w:pPr>
        <w:ind w:left="420"/>
      </w:pPr>
      <w:r>
        <w:t xml:space="preserve">1. für die Deponieklasse II einhalten, auf einer Deponie oder einem Deponieabschnitt der Klasse II oder</w:t>
      </w:r>
    </w:p>
    <w:p>
      <w:pPr>
        <w:ind w:left="420"/>
      </w:pPr>
      <w:r>
        <w:t xml:space="preserve">2. für die Deponieklasse I einhalten, auf einer Deponie oder einem Deponieabschnitt der Klasse I</w:t>
      </w:r>
    </w:p>
    <w:p>
      <w:r>
        <w:t xml:space="preserve">abgelagert werden. Satz 1 und 2 gilt für asbesthaltige Abfälle und Abfälle, die andere gefährliche Mineralfasern enthalten, mit der Maßgabe, dass</w:t>
      </w:r>
    </w:p>
    <w:p>
      <w:pPr>
        <w:ind w:left="420"/>
      </w:pPr>
      <w:r>
        <w:t xml:space="preserve">1. keine Anhaltspunkte bestehen, dass die Abfälle die Zuordnungskriterien des Anhangs 3 Nummer 2 für die jeweilige Deponieklasse nicht einhalten und</w:t>
      </w:r>
    </w:p>
    <w:p>
      <w:pPr>
        <w:ind w:left="420"/>
      </w:pPr>
      <w:r>
        <w:t xml:space="preserve">2. die Ablagerung in einem gesonderten Teilabschnitt eines Deponieabschnittes oder in einem eigenen Deponieabschnitt erfolgt.</w:t>
      </w:r>
    </w:p>
    <w:p>
      <w:r>
        <w:t xml:space="preserve">(4) Nicht gefährliche Abfälle dürfen nur abgelagert werden auf Deponien oder Deponieabschnitten, die</w:t>
      </w:r>
    </w:p>
    <w:p>
      <w:pPr>
        <w:ind w:left="420"/>
      </w:pPr>
      <w:r>
        <w:t xml:space="preserve">1. mindestens alle Anforderungen für die Deponieklasse I erfüllen und wenn die Zuordnungskriterien des Anhangs 3 Nummer 2 für die Deponieklasse I eingehalten werden, oder</w:t>
      </w:r>
    </w:p>
    <w:p>
      <w:pPr>
        <w:ind w:left="420"/>
      </w:pPr>
      <w:r>
        <w:t xml:space="preserve">2. mindestens alle Anforderungen für die Deponieklasse II erfüllen und wenn die Zuordnungskriterien des Anhangs 3 Nummer 2 für die Deponieklasse II eingehalten werden, oder</w:t>
      </w:r>
    </w:p>
    <w:p>
      <w:pPr>
        <w:ind w:left="420"/>
      </w:pPr>
      <w:r>
        <w:t xml:space="preserve">3. mindestens alle Anforderungen für die Deponieklasse III erfüllen und wenn die Zuordnungskriterien des Anhangs 3 Nummer 2 für die Deponieklasse III eingehalten werden, oder</w:t>
      </w:r>
    </w:p>
    <w:p>
      <w:pPr>
        <w:ind w:left="420"/>
      </w:pPr>
      <w:r>
        <w:t xml:space="preserve">4. alle Anforderungen für die Deponieklasse IV erfüllen.</w:t>
      </w:r>
    </w:p>
    <w:p>
      <w:r>
        <w:t xml:space="preserve">Satz 1 gilt für mechanisch-biologisch behandelte Abfälle mit der Maßgabe, dass</w:t>
      </w:r>
    </w:p>
    <w:p>
      <w:pPr>
        <w:ind w:left="420"/>
      </w:pPr>
      <w:r>
        <w:t xml:space="preserve">1. die Ablagerung nur auf Deponien oder Deponieabschnitten der Klasse II erfolgt,</w:t>
      </w:r>
    </w:p>
    <w:p>
      <w:pPr>
        <w:ind w:left="420"/>
      </w:pPr>
      <w:r>
        <w:t xml:space="preserve">2. auf der Deponie oder dem Deponieabschnitt keine gefährlichen Abfälle oder gipshaltige Abfälle abgelagert werden und</w:t>
      </w:r>
    </w:p>
    <w:p>
      <w:pPr>
        <w:ind w:left="420"/>
      </w:pPr>
      <w:r>
        <w:t xml:space="preserve">3. im Rahmen der mechanisch-biologischen Behandlung heizwertreiche Abfälle zur Verwertung oder thermischen Behandlung sowie sonstige verwertbare oder schadstoffhaltige Fraktionen weitgehend abgetrennt wurden.</w:t>
      </w:r>
    </w:p>
    <w:p>
      <w:r>
        <w:t xml:space="preserve">Für vollständig stabilisierte Abfälle (Abfallschlüssel 19 03 05 der Anlage zur Abfallverzeichnis-Verordnung) gilt Satz 1 bei einer Ablagerung auf einer Deponie oder einem Deponieabschnitt der Deponieklasse I oder II mit der Maßgabe, dass organische Schadstoffe, durch die die stabilisierten ursprünglichen Abfälle gefährliche Eigenschaften oder Merkmale nach § 3 Absatz 2 der Abfallverzeichnis-Verordnung aufwiesen, durch die Stabilisierung zerstört worden sind.</w:t>
      </w:r>
    </w:p>
    <w:p>
      <w:r>
        <w:t xml:space="preserve">(5) Inertabfälle dürfen nur abgelagert werden auf</w:t>
      </w:r>
    </w:p>
    <w:p>
      <w:pPr>
        <w:ind w:left="420"/>
      </w:pPr>
      <w:r>
        <w:t xml:space="preserve">1. Deponien oder Deponieabschnitten, die mindestens alle Anforderungen für die Deponieklasse 0 erfüllen und wenn die Zuordnungskriterien des Anhangs 3 Nummer 2 für die Deponieklasse 0 eingehalten werden, oder</w:t>
      </w:r>
    </w:p>
    <w:p>
      <w:pPr>
        <w:ind w:left="420"/>
      </w:pPr>
      <w:r>
        <w:t xml:space="preserve">2. auf Deponien, die alle Anforderungen für die Deponieklasse IV erfüllen.</w:t>
      </w:r>
    </w:p>
    <w:p>
      <w:r>
        <w:t xml:space="preserve">(6) Mit Zustimmung der zuständigen Behörde dürfen auch bei Überschreitung einzelner Zuordnungswerte, insbesondere des TOC und des Glühverlustes,</w:t>
      </w:r>
    </w:p>
    <w:p>
      <w:pPr>
        <w:ind w:left="420"/>
      </w:pPr>
      <w:r>
        <w:t xml:space="preserve">1. abweichend von Absatz 3 Satz 1 Nummer 1 in Verbindung mit Absatz 1 Satz 1 gefährliche Abfälle aus Schadensfällen wie Brände und Naturkatastrophen auf einem gesonderten Teilabschnitt eines Deponieabschnittes der Klasse III, bei der Einstufung als gefährlicher Abfall ausschließlich auf Grund enthaltener gefährlicher Mineralfasern jedoch auf einem gesonderten Teilabschnitt eines Deponieabschnittes der Klasse II,</w:t>
      </w:r>
    </w:p>
    <w:p>
      <w:pPr>
        <w:ind w:left="420"/>
      </w:pPr>
      <w:r>
        <w:t xml:space="preserve">2. abweichend von Absatz 4 Satz 1 Nummer 2 in Verbindung mit Absatz 1 Satz 1 nicht gefährliche Abfälle aus Schadensfällen wie Brände und Naturkatastrophen auf einem gesonderten Teilabschnitt eines Deponieabschnittes der Klasse II und</w:t>
      </w:r>
    </w:p>
    <w:p>
      <w:pPr>
        <w:ind w:left="420"/>
      </w:pPr>
      <w:r>
        <w:t xml:space="preserve">3. abweichend von Absatz 4 Satz 1 Nummer 3 in Verbindung mit Absatz 1 Satz 1 nicht gefährliche Abfälle aus Schadensfällen wie Brände und Naturkatastrophen auf einem gesonderten Teilabschnitt eines Deponieabschnittes der Klasse III</w:t>
      </w:r>
    </w:p>
    <w:p>
      <w:r>
        <w:t xml:space="preserve">abgelagert werden, soweit zuvor eine möglichst weitgehende Aussortierung organischer Anteile erfolgt ist und das Wohl der Allgemeinheit durch die Ablagerung nicht beeinträchtigt wird. Satz 1 gilt auch</w:t>
      </w:r>
    </w:p>
    <w:p>
      <w:pPr>
        <w:ind w:left="420"/>
      </w:pPr>
      <w:r>
        <w:t xml:space="preserve">1. für Abfälle, die Asbest oder andere gefährliche Mineralfasern enthalten oder vermischt mit ihnen anfallen, wenn der Nachweis erbracht wird, dass eine Abtrennung der Fasern nicht möglich oder wirtschaftlich nicht zumutbar ist oder kein anderes Entsorgungsverfahren zur Verfügung steht, sowie</w:t>
      </w:r>
    </w:p>
    <w:p>
      <w:pPr>
        <w:ind w:left="420"/>
      </w:pPr>
      <w:r>
        <w:t xml:space="preserve">2. für Abfälle, die aus dem Rückbau einer Deponie oder einer Altlast nach § 2 Absatz 5 des Bundes-Bodenschutzgesetzes vom 17. März 1998 (BGBl. I S. 502), das zuletzt durch Artikel 3 des Gesetzes vom 9. Dezember 2004 (BGBl. I S. 3214) geändert worden ist, stammen, wenn die heizwertreichen Abfallanteile vor der Ablagerung weitgehend abgetrennt werden.</w:t>
      </w:r>
    </w:p>
    <w:p>
      <w:r>
        <w:rPr>
          <w:color w:val="555555"/>
          <w:sz w:val="17"/>
        </w:rPr>
        <w:t xml:space="preserve">Zitiervorschlag: § 6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