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DepV 2009 — Organisation und Personal</w:t>
      </w:r>
    </w:p>
    <w:p>
      <w:r>
        <w:rPr>
          <w:color w:val="555555"/>
          <w:sz w:val="18"/>
        </w:rPr>
        <w:t xml:space="preserve">Deponieverordnung</w:t>
      </w:r>
    </w:p>
    <w:p>
      <w:r>
        <w:rPr>
          <w:color w:val="555555"/>
          <w:sz w:val="18"/>
        </w:rPr>
        <w:t xml:space="preserve">Stand: 05.07.2020 (konsolidierte Textfassung, kein amtliches Inkrafttretensdatum)</w:t>
      </w:r>
    </w:p>
    <w:p>
      <w:r>
        <w:t xml:space="preserve">Der Deponiebetreiber hat die Organisation einer Deponie so auszugestalten, dass</w:t>
      </w:r>
    </w:p>
    <w:p>
      <w:pPr>
        <w:ind w:left="420"/>
      </w:pPr>
      <w:r>
        <w:t xml:space="preserve">1. jederzeit ausreichend Personal, das über die für ihre jeweilige Tätigkeit erforderliche Fach- und Sachkunde verfügt, für die wahrzunehmenden Aufgaben vorhanden ist,</w:t>
      </w:r>
    </w:p>
    <w:p>
      <w:pPr>
        <w:ind w:left="420"/>
      </w:pPr>
      <w:r>
        <w:t xml:space="preserve">2. die für die Leitung verantwortlichen Personen mindestens alle zwei Jahre an von der zuständigen Behörde oder Stelle anerkannten Lehrgängen nach Anhang 5 Nummer 9 teilnehmen,</w:t>
      </w:r>
    </w:p>
    <w:p>
      <w:pPr>
        <w:ind w:left="420"/>
      </w:pPr>
      <w:r>
        <w:t xml:space="preserve">3. das Personal über den für die Tätigkeit erforderlichen aktuellen Wissensstand verfügt und mindestens alle vier Jahre an einer fachspezifischen Fortbildung teilnimmt,</w:t>
      </w:r>
    </w:p>
    <w:p>
      <w:pPr>
        <w:ind w:left="420"/>
      </w:pPr>
      <w:r>
        <w:t xml:space="preserve">4. die erforderliche Überwachung und Kontrolle der durchgeführten abfallwirtschaftlichen Tätigkeiten sichergestellt ist sowie</w:t>
      </w:r>
    </w:p>
    <w:p>
      <w:pPr>
        <w:ind w:left="420"/>
      </w:pPr>
      <w:r>
        <w:t xml:space="preserve">5. Unfälle vermieden und eventuelle Unfallfolgen begrenzt werden.</w:t>
      </w:r>
    </w:p>
    <w:p>
      <w:r>
        <w:rPr>
          <w:color w:val="555555"/>
          <w:sz w:val="17"/>
        </w:rPr>
        <w:t xml:space="preserve">Zitiervorschlag: § 4 DepV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https://recht.nulegal.eu/gesetze/DepV%202009/4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