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DepV 2009 — Überprüfung behördlicher Entscheidungen</w:t>
      </w:r>
    </w:p>
    <w:p>
      <w:r>
        <w:rPr>
          <w:color w:val="555555"/>
          <w:sz w:val="18"/>
        </w:rPr>
        <w:t xml:space="preserve">Deponieverordnung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zuständige Behörde hat durch geeignete Maßnahmen zu überwachen, dass die Deponie im Einklang mit den umweltbezogenen Bestimmungen der behördlichen Entscheidung nach § 21 errichtet, betrieben und stillgelegt wird.</w:t>
      </w:r>
    </w:p>
    <w:p>
      <w:r>
        <w:t xml:space="preserve">(2) Die zuständige Behörde hat die behördlichen Entscheidungen nach § 21 alle vier Jahre darauf zu überprüfen, ob zur Einhaltung des Standes der Technik im Sinne des § 3 Absatz 28 des Kreislaufwirtschaftsgesetzes sowie der in § 36 Absatz 1 Nummer 1 bis 3 und 5 des Kreislaufwirtschaftsgesetzes genannten Anforderungen weitere Bedingungen, Auflagen oder Befristungen angeordnet oder bestehende geändert werden müssen. Die zuständige Behörde nimmt Prüfungen entsprechend Satz 1 sowie Anordnungen oder Änderungen der behördlichen Entscheidungen vor, soweit die von der Deponie verursachten Beeinträchtigungen des Wohls der Allgemeinheit, die Betriebssicherheit oder neue umweltrechtliche Vorschriften dies erfordern.</w:t>
      </w:r>
    </w:p>
    <w:p>
      <w:r>
        <w:rPr>
          <w:color w:val="555555"/>
          <w:sz w:val="17"/>
        </w:rPr>
        <w:t xml:space="preserve">Zitiervorschlag: § 22 DepV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https://recht.nulegal.eu/gesetze/DepV%202009/22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