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21a DepV 2009 — Öffentliche Bekanntmachung</w:t>
      </w:r>
    </w:p>
    <w:p>
      <w:r>
        <w:rPr>
          <w:color w:val="555555"/>
          <w:sz w:val="18"/>
        </w:rPr>
        <w:t xml:space="preserve">Deponieverordnung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 über den Antrag auf Planfeststellung einer Deponie ist im Internet öffentlich bekannt zu machen; davon ausgenommen sind die mit dem Antrag eingereichten Unterlagen. Sofern der Planfeststellungsbeschluss Hinweise auf Geschäfts- oder Betriebsgeheimnisse enthält, sind die entsprechenden Stellen unkenntlich zu machen.</w:t>
      </w:r>
    </w:p>
    <w:p>
      <w:r>
        <w:t xml:space="preserve">(2) Absatz 1 gilt entsprechend für Anordnungen zur Stilllegung einer planfeststellungsbedürftigen Deponie nach § 40 Absatz 2 und 3 des Kreislaufwirtschaftsgesetzes.</w:t>
      </w:r>
    </w:p>
    <w:p>
      <w:r>
        <w:rPr>
          <w:color w:val="555555"/>
          <w:sz w:val="17"/>
        </w:rPr>
        <w:t xml:space="preserve">Zitiervorschlag: § 21a DepV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https://recht.nulegal.eu/gesetze/DepV%202009/21a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21a DepV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