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DepV 2009 — Grenzüberschreitende Behörden- und Öffentlichkeitsbeteiligung</w:t>
      </w:r>
    </w:p>
    <w:p>
      <w:r>
        <w:rPr>
          <w:color w:val="555555"/>
          <w:sz w:val="18"/>
        </w:rPr>
        <w:t xml:space="preserve">Deponieverordnung</w:t>
      </w:r>
    </w:p>
    <w:p>
      <w:r>
        <w:rPr>
          <w:color w:val="555555"/>
          <w:sz w:val="18"/>
        </w:rPr>
        <w:t xml:space="preserve">Stand: 29.07.2026 (konsolidierte Textfassung, kein amtliches Inkrafttretensdatum)</w:t>
      </w:r>
    </w:p>
    <w:p>
      <w:r>
        <w:t xml:space="preserve">Kann ein nach § 35 Absatz 2 des Kreislaufwirtschaftsgesetzes planfeststellungspflichtiges Vorhaben erhebliche Auswirkungen in einem anderen Staat haben, die in den Antragsunterlagen zu beschreiben sind, oder ersucht ein anderer Staat, der möglicherweise von den Auswirkungen erheblich berührt wird, darum, hat die zuständige Behörde die von dem anderen Staat benannten Behörden zum gleichen Zeitpunkt und im gleichen Umfang über das Vorhaben zu unterrichten wie die nach § 73a Absatz 1 des Verwaltungsverfahrensgesetzes zu beteiligenden Behörden. Für das weitere Verfahren der grenzüberschreitenden Behörden- und Öffentlichkeitsbeteiligung ist § 11a der Verordnung über das Genehmigungsverfahren entsprechend anzuwenden.</w:t>
      </w:r>
    </w:p>
    <w:p>
      <w:r>
        <w:rPr>
          <w:color w:val="555555"/>
          <w:sz w:val="17"/>
        </w:rPr>
        <w:t xml:space="preserve">Zitiervorschlag: § 20 DepV 2009</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https://recht.nulegal.eu/gesetze/DepV%202009/20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