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 DepV 2009 — Annahmeverfahren und Dokumentation</w:t>
      </w:r>
    </w:p>
    <w:p>
      <w:r>
        <w:rPr>
          <w:color w:val="555555"/>
          <w:sz w:val="18"/>
        </w:rPr>
        <w:t xml:space="preserve">Deponieverordnung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Annahme von Deponieersatzbaustoffen gilt § 8 entsprechend.</w:t>
      </w:r>
    </w:p>
    <w:p>
      <w:r>
        <w:t xml:space="preserve">(2) Der Deponiebetreiber registriert die Herkunft der Deponieersatzbaustoffe in dem Register nach § 24 der Nachweisverordnung. Für die Dokumentation der Deponieersatzbaustoffe im Abfallkataster gilt § 13 Absatz 2 entsprechend.</w:t>
      </w:r>
    </w:p>
    <w:p>
      <w:r>
        <w:t xml:space="preserve">(3) Der Betreiber von Anlagen zur Herstellung von Deponieersatzbaustoffen hat die Abfallherkunft und Angaben über den Entsorgungsweg in das Register nach § 24 der Nachweisverordnung zu übernehmen.</w:t>
      </w:r>
    </w:p>
    <w:p>
      <w:r>
        <w:rPr>
          <w:color w:val="555555"/>
          <w:sz w:val="17"/>
        </w:rPr>
        <w:t xml:space="preserve">Zitiervorschlag: § 17 DepV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https://recht.nulegal.eu/gesetze/DepV%202009/17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