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DepV 2009 — Inverkehrbringen von Abfällen</w:t>
      </w:r>
    </w:p>
    <w:p>
      <w:r>
        <w:rPr>
          <w:color w:val="555555"/>
          <w:sz w:val="18"/>
        </w:rPr>
        <w:t xml:space="preserve">Deponieverordnung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Abfälle dürfen zur Herstellung von Deponieersatzbaustoffen nur in Verkehr gebracht werden, wenn sie die Anforderungen nach § 14 Absatz 2 und 3 einhalten. Deponieersatzbaustoffe und unmittelbar als Deponieersatzbaustoff zu verwendende Abfälle dürfen nur in Verkehr gebracht werden, um sie Deponien zuzuführen, in denen die Anforderungen nach den §§ 14 und 15 eingehalten werden.</w:t>
      </w:r>
    </w:p>
    <w:p>
      <w:r>
        <w:rPr>
          <w:color w:val="555555"/>
          <w:sz w:val="17"/>
        </w:rPr>
        <w:t xml:space="preserve">Zitiervorschlag: § 16 DepV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https://recht.nulegal.eu/gesetze/DepV%202009/16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