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DepV 2009 — Einsatzbereiche und Zuordnung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Verwendung von Deponieersatzbaustoffen ist nur zulässig, wenn die Anforderungen des Anhangs 3 eingehalten werden. Beim Einsatz von Deponieersatzbaustoffen zur Profilierung ist ergänzend zu beachten, dass</w:t>
      </w:r>
    </w:p>
    <w:p>
      <w:pPr>
        <w:ind w:left="420"/>
      </w:pPr>
      <w:r>
        <w:t xml:space="preserve">1. sich die Deponie oder der Deponieabschnitt in der Stilllegungsphase befindet und die Ablagerungsphase auf Grund der Anforderungen der Abfallablagerungsverordnung vom 20. Februar 2001 (BGBl. I S. 305), die zuletzt durch Artikel 1 der Verordnung vom 13. Dezember 2006 (BGBl. I S. 2860) geändert worden ist, oder der Deponieverordnung vom 24. Juli 2002 (BGBl. I S. 2807), die zuletzt durch Artikel 2 der Verordnung vom 13. Dezember 2006 (BGBl. I S. 2860) geändert worden ist, beendet worden ist, ohne dass die Deponie oder der Deponieabschnitt vollständig verfüllt ist, und</w:t>
      </w:r>
    </w:p>
    <w:p>
      <w:pPr>
        <w:ind w:left="420"/>
      </w:pPr>
      <w:r>
        <w:t xml:space="preserve">2. die Profilierung deponiebautechnisch erforderlich und nicht durch Änderung der zugelassenen Deponieform oder Umlagerung bereits abgelagerter Abfälle – soweit technisch möglich und wirtschaftlich zumutbar – zu erreichen ist.</w:t>
      </w:r>
    </w:p>
    <w:p>
      <w:r>
        <w:rPr>
          <w:color w:val="555555"/>
          <w:sz w:val="17"/>
        </w:rPr>
        <w:t xml:space="preserve">Zitiervorschlag: § 15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