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DepV 2009 — Information und Dokumentation</w:t>
      </w:r>
    </w:p>
    <w:p>
      <w:r>
        <w:rPr>
          <w:color w:val="555555"/>
          <w:sz w:val="18"/>
        </w:rPr>
        <w:t xml:space="preserve">Deponieverordnung</w:t>
      </w:r>
    </w:p>
    <w:p>
      <w:r>
        <w:rPr>
          <w:color w:val="555555"/>
          <w:sz w:val="18"/>
        </w:rPr>
        <w:t xml:space="preserve">Stand: 10.06.2019 (konsolidierte Textfassung, kein amtliches Inkrafttretensdatum)</w:t>
      </w:r>
    </w:p>
    <w:p>
      <w:r>
        <w:t xml:space="preserve">(1) Der Deponiebetreiber hat vor Beginn der Ablagerungsphase folgende Unterlagen zu erstellen:</w:t>
      </w:r>
    </w:p>
    <w:p>
      <w:pPr>
        <w:ind w:left="420"/>
      </w:pPr>
      <w:r>
        <w:t xml:space="preserve">1. eine Betriebsordnung nach Anhang 5 Nummer 1.1 und</w:t>
      </w:r>
    </w:p>
    <w:p>
      <w:pPr>
        <w:ind w:left="420"/>
      </w:pPr>
      <w:r>
        <w:t xml:space="preserve">2. ein Betriebshandbuch nach Anhang 5 Nummer 1.2.</w:t>
      </w:r>
    </w:p>
    <w:p>
      <w:r>
        <w:t xml:space="preserve">Er hat die Unterlagen bei Bedarf fortzuschreiben und auf Verlangen der zuständigen Behörde vorzulegen.</w:t>
      </w:r>
    </w:p>
    <w:p>
      <w:r>
        <w:t xml:space="preserve">(2) Der Betreiber einer Deponie der Klasse I, II, III oder IV hat ein Abfallkataster nach Anhang 5 Nummer 1.3 anzulegen und die dort geforderten Angaben zu dokumentieren. Die zuständige Behörde kann bei Monodeponien den Deponiebetreiber von den Anforderungen nach Satz 1 freistellen, wenn auf der Deponie oder einem Deponieabschnitt nur eine Abfallart abgelagert wird.</w:t>
      </w:r>
    </w:p>
    <w:p>
      <w:r>
        <w:t xml:space="preserve">(3) Der Deponiebetreiber hat ein Betriebstagebuch nach Anhang 5 Nummer 1.4 zu führen und bis zum Ende der Nachsorgephase aufzubewahren. Auf Verlangen der zuständigen Behörde hat er das Betriebstagebuch vorzulegen.</w:t>
      </w:r>
    </w:p>
    <w:p>
      <w:r>
        <w:t xml:space="preserve">(4) Der Deponiebetreiber hat die zuständige Behörde unverzüglich zu unterrichten über</w:t>
      </w:r>
    </w:p>
    <w:p>
      <w:pPr>
        <w:ind w:left="420"/>
      </w:pPr>
      <w:r>
        <w:t xml:space="preserve">1. alle festgestellten nachteiligen Auswirkungen der Deponie auf die Umwelt,</w:t>
      </w:r>
    </w:p>
    <w:p>
      <w:pPr>
        <w:ind w:left="420"/>
      </w:pPr>
      <w:r>
        <w:t xml:space="preserve">2. Störungen, die zu einer erheblichen Abweichung vom ordnungsgemäßen Deponiebetrieb führen, und</w:t>
      </w:r>
    </w:p>
    <w:p>
      <w:pPr>
        <w:ind w:left="420"/>
      </w:pPr>
      <w:r>
        <w:t xml:space="preserve">3. Feststellungen, dass die Anforderungen der Deponiezulassung nicht eingehalten werden.</w:t>
      </w:r>
    </w:p>
    <w:p>
      <w:r>
        <w:t xml:space="preserve">(5) Der Deponiebetreiber hat der zuständigen Behörde bis zum 31. März des Folgejahres einen Jahresbericht nach Anhang 5 Nummer 2 vorzulegen. Die Länder können Einzelheiten der Anforderungen, die an die Jahresberichte zu stellen sind, und über deren Vorlage regeln. Auf Antrag des Deponiebetreibers kann die zuständige Behörde die Frist zur Vorlage des Jahresberichts oder einzelner Teile verlängern.</w:t>
      </w:r>
    </w:p>
    <w:p>
      <w:r>
        <w:t xml:space="preserve">(6) Der Deponiebetreiber hat bis spätestens sechs Monate nach Verfüllung eines Deponieabschnittes einen Bestandsplan zu erstellen. Im Bestandsplan ist der gesamte Deponieabschnitt einschließlich der technischen Barrieren aufzunehmen und zu dokumentieren. Ist ein Abfallkataster nach Absatz 2 zu erstellen, ist es in den Bestandsplan mit aufzunehmen.</w:t>
      </w:r>
    </w:p>
    <w:p>
      <w:r>
        <w:t xml:space="preserve">(7) Unbeschadet der Informations- und Dokumentationspflichten nach den Absätzen 1 bis 6 übermittelt der Deponiebetreiber auf Verlangen der zuständigen Behörde die für die Überprüfung der Zulassung der Deponie erforderlichen Informationen, insbesondere die Ergebnisse der Messungen und Kontrollen und sonstige Daten, die der Behörde einen Vergleich des Betriebes der Deponie mit dem Stand der Technik im Sinne des § 3 Absatz 28 des Kreislaufwirtschaftsgesetzes sowie der in § 36 Absatz 1 Nummer 1 bis 3 und 5 des Kreislaufwirtschaftsgesetzes genannten Anforderungen ermöglichen.</w:t>
      </w:r>
    </w:p>
    <w:p>
      <w:r>
        <w:rPr>
          <w:color w:val="555555"/>
          <w:sz w:val="17"/>
        </w:rPr>
        <w:t xml:space="preserve">Zitiervorschlag: § 13 DepV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https://recht.nulegal.eu/gesetze/DepV%202009/13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