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DepV 2009 — Nachsorge</w:t>
      </w:r>
    </w:p>
    <w:p>
      <w:r>
        <w:rPr>
          <w:color w:val="555555"/>
          <w:sz w:val="18"/>
        </w:rPr>
        <w:t xml:space="preserve">Deponieverordnung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Deponiebetreiber hat in der Nachsorgephase alle Maßnahmen, insbesondere die Kontroll- und Überwachungsmaßnahmen, nach § 12 durchzuführen, die zur Verhinderung von Beeinträchtigungen des Wohles der Allgemeinheit erforderlich sind.</w:t>
      </w:r>
    </w:p>
    <w:p>
      <w:r>
        <w:t xml:space="preserve">(2) Kommt die zuständige Behörde unter Berücksichtigung</w:t>
      </w:r>
    </w:p>
    <w:p>
      <w:pPr>
        <w:ind w:left="420"/>
      </w:pPr>
      <w:r>
        <w:t xml:space="preserve">1. der Prüfkriterien nach Anhang 5 Nummer 10 zu dem Schluss, dass aus dem Verhalten einer Deponie der Klasse 0, I, II oder III oder</w:t>
      </w:r>
    </w:p>
    <w:p>
      <w:pPr>
        <w:ind w:left="420"/>
      </w:pPr>
      <w:r>
        <w:t xml:space="preserve">2. der Dokumentation über den Zustand der Verwahrung der Tageszugänge nach Anhang 2 Nummer 4 zu dem Schluss, dass aus dem Verhalten einer Deponie der Klasse IV</w:t>
      </w:r>
    </w:p>
    <w:p>
      <w:r>
        <w:t xml:space="preserve">zukünftig keine Beeinträchtigungen des Wohles der Allgemeinheit zu erwarten sind, kann sie auf Antrag des Deponiebetreibers die Kontroll- und Überwachungsmaßnahmen nach § 12 aufheben und nach § 40 Absatz 5 des Kreislaufwirtschaftsgesetzes den Abschluss der Nachsorgephase feststellen.</w:t>
      </w:r>
    </w:p>
    <w:p>
      <w:r>
        <w:rPr>
          <w:color w:val="555555"/>
          <w:sz w:val="17"/>
        </w:rPr>
        <w:t xml:space="preserve">Zitiervorschlag: § 11 DepV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https://recht.nulegal.eu/gesetze/DepV%202009/11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