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DepV 2009 — Stilllegung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In der Stilllegungsphase hat der Betreiber</w:t>
      </w:r>
    </w:p>
    <w:p>
      <w:pPr>
        <w:ind w:left="420"/>
      </w:pPr>
      <w:r>
        <w:t xml:space="preserve">1. einer Deponie der Klasse 0, I, II oder III unverzüglich alle erforderlichen Maßnahmen zur Errichtung des Oberflächenabdichtungssystems nach Anhang 1 Nummer 2,</w:t>
      </w:r>
    </w:p>
    <w:p>
      <w:pPr>
        <w:ind w:left="420"/>
      </w:pPr>
      <w:r>
        <w:t xml:space="preserve">2. einer Deponie der Klasse IV unverzüglich alle erforderlichen Maßnahmen nach Anhang 2 Nummer 3</w:t>
      </w:r>
    </w:p>
    <w:p>
      <w:r>
        <w:t xml:space="preserve">durchzuführen, um eine Beeinträchtigung des Wohles der Allgemeinheit zu verhindern.</w:t>
      </w:r>
    </w:p>
    <w:p>
      <w:r>
        <w:t xml:space="preserve">(2) Der Deponiebetreiber hat die endgültige Stilllegung der Deponie oder eines Deponieabschnittes nach § 40 Absatz 3 des Kreislaufwirtschaftsgesetzes bei der zuständigen Behörde zu beantragen. Dem Antrag sind mindestens bewertende Zusammenfassungen der Jahresberichte nach § 13 Absatz 5 und der Bestandspläne nach § 13 Absatz 6 sowie Bescheinigungen der zum Zeitpunkt der Errichtung zuständigen Überwachungsbehörde oder gleichwertige Nachweise über die ordnungsgemäße Errichtung des Oberflächenabdichtungssystems beizufügen.</w:t>
      </w:r>
    </w:p>
    <w:p>
      <w:r>
        <w:t xml:space="preserve">(3) Die zuständige Behörde hat bei einer Stilllegung einer Deponie oder eines Deponieabschnittes die einzelnen Deponieabschnitte und die dazugehörigen technischen Einrichtungen abzunehmen. Die Abnahme erfolgt nach der Errichtung des Oberflächenabdichtungssystems.</w:t>
      </w:r>
    </w:p>
    <w:p>
      <w:r>
        <w:rPr>
          <w:color w:val="555555"/>
          <w:sz w:val="17"/>
        </w:rPr>
        <w:t xml:space="preserve">Zitiervorschlag: § 10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