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DelV (Bayern) — Staatsministerium für Umwelt und Verbraucherschutz</w:t>
      </w:r>
    </w:p>
    <w:p>
      <w:r>
        <w:rPr>
          <w:color w:val="555555"/>
          <w:sz w:val="18"/>
        </w:rPr>
        <w:t xml:space="preserve">Delegationsverordnung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Ermächtigungen nach</w:t>
      </w:r>
    </w:p>
    <w:p>
      <w:r>
        <w:t xml:space="preserve">1. § 14 Abs. 3 Satz 1, § 38 Abs. 9 Halbsatz 1 und Abs. 10 des Tiergesundheitsgesetzes,</w:t>
      </w:r>
    </w:p>
    <w:p>
      <w:r>
        <w:t xml:space="preserve">2. § 23 Abs. 4 des Weingesetzes,</w:t>
      </w:r>
    </w:p>
    <w:p>
      <w:r>
        <w:t xml:space="preserve">3. § 54 Abs. 1 des Weingesetzes in Verbindung mit § 23 Abs. 2 und § 39 Abs. 2 und 3 der Weinverordnung,</w:t>
      </w:r>
    </w:p>
    <w:p>
      <w:r>
        <w:t xml:space="preserve">4. § 54 Abs. 1 des Weingesetzes in Verbindung mit § 11 Abs. 1 Satz 2, § 12 Abs. 2, § 13 Abs. 2 Satz 2, § 14 Abs. 1, §§ 23, 30 Abs. 2 und 3, § 37 Abs. 4 der Wein-Überwachungsverordnung,</w:t>
      </w:r>
    </w:p>
    <w:p>
      <w:r>
        <w:t xml:space="preserve">5. § 42 Abs. 1 Satz 3 und § 70 Abs. 14 Satz 1 des Lebensmittel- und Futtermittelgesetzbuchs,</w:t>
      </w:r>
    </w:p>
    <w:p>
      <w:r>
        <w:t xml:space="preserve">6. § 50 Abs. 5 Satz 1 des Wasserhaushaltsgesetzes (WHG),</w:t>
      </w:r>
    </w:p>
    <w:p>
      <w:r>
        <w:t xml:space="preserve">7. § 47 Abs. 4 Satz 1 und Abs. 5 Satz 1, § 54 Abs. 1 Satz 2 sowie § 59 Satz 2 BBiG, soweit das Staatsministerium für Umwelt und Verbraucherschutz für die Berufsausbildung gemäß Art. 1 Abs. 1 AGBBiG zuständig ist,</w:t>
      </w:r>
    </w:p>
    <w:p>
      <w:r>
        <w:t xml:space="preserve">8. Art. 11 Abs. 1 Satz 1 des Bayerischen Abfallwirtschaftsgesetzes,</w:t>
      </w:r>
    </w:p>
    <w:p>
      <w:r>
        <w:t xml:space="preserve">9. Art. 1 Abs. 2 Satz 1 ZustG für den Bereich des Übereinkommens vom 9. September 1996 über die Sammlung, Abgabe und Annahme von Abfällen in der Rhein- und Binnenschifffahrt und des Binnenschifffahrt-Abfallübereinkommen-Ausführungsgesetzes</w:t>
      </w:r>
    </w:p>
    <w:p>
      <w:r>
        <w:t xml:space="preserve">werden auf das Staatsministerium für Umwelt und Verbraucherschutz übertragen.</w:t>
      </w:r>
    </w:p>
    <w:p>
      <w:r>
        <w:rPr>
          <w:color w:val="555555"/>
          <w:sz w:val="17"/>
        </w:rPr>
        <w:t xml:space="preserve">Zitiervorschlag: § 7 DelV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https://recht.nulegal.eu/gesetze/DelV/7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