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DelV (Bayern) — Staatsministerium für Ernährung, Landwirtschaft, Forsten und Tourismus</w:t>
      </w:r>
    </w:p>
    <w:p>
      <w:r>
        <w:rPr>
          <w:color w:val="555555"/>
          <w:sz w:val="18"/>
        </w:rPr>
        <w:t xml:space="preserve">Delegationsverordnung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Ermächtigungen nach</w:t>
      </w:r>
    </w:p>
    <w:p>
      <w:r>
        <w:t xml:space="preserve">1. § 10 Abs. 2 Halbsatz 1, § 20 Abs. 2 Satz 1 Halbsatz 1, § 22 Abs. 1 Sätze 1 und 2 und Abs. 2a Satz 2 Halbsatz 1 des Milch- und Fettgesetzes; Rechtsverordnungen auf Grund des § 10 Abs. 2 Halbsatz 1 des Milch- und Fettgesetzes ergehen im Einvernehmen mit dem Staatsministerium für Umwelt und Verbraucherschutz,</w:t>
      </w:r>
    </w:p>
    <w:p>
      <w:r>
        <w:t xml:space="preserve">2. § 7 Satz 1 des Milch- und Margarinegesetzes,</w:t>
      </w:r>
    </w:p>
    <w:p>
      <w:r>
        <w:t xml:space="preserve">3. § 9 Abs. 2 Satz 1, § 19 Abs. 2 und § 28 Abs. 2 des Tierzuchtgesetzes,</w:t>
      </w:r>
    </w:p>
    <w:p>
      <w:r>
        <w:t xml:space="preserve">4. § 25 Abs. 2 Satz 1 des Rennwett- und Lotteriegesetzes in Verbindung mit §§ 3, 4 Abs. 1 Satz 2 des Rennwett- und Lotteriegesetzes,</w:t>
      </w:r>
    </w:p>
    <w:p>
      <w:r>
        <w:t xml:space="preserve">5. § 6 Abs. 3 Satz 1, § 9 Abs. 7 Satz 1, § 10 Satz 2, § 14 Abs. 4 Satz 1, § 16 Abs. 5 Satz 1, § 24 Abs. 1 Satz 2 und § 29 Abs. 2 Satz 1 des Pflanzenschutzgesetzes (PflSchG); Rechtsverordnungen auf Grund von § 6 Abs. 3 Satz 1 Nr. 1 PflSchG in Verbindung mit § 6 Abs. 1 Nrn. 3, 5, 11, 14, 15 und 16 PflSchG ergehen im Einvernehmen mit dem Staatsministerium für Umwelt und Verbraucherschutz,</w:t>
      </w:r>
    </w:p>
    <w:p>
      <w:r>
        <w:t xml:space="preserve">6. § 3 Abs. 4, § 3b Abs. 4 Sätze 1 bis 3, § 6 Abs. 2, 3, 6 und 7, § 6a Abs. 2, § 7 Abs. 3, § 7e Abs. 2, § 8 Abs. 1 und 2, § 8a, § 9 Abs. 2 und 5, § 12 Abs. 3 bis 5, § 17 Abs. 3 und 4, § 20 Abs. 6, § 21 Abs. 3, § 22 Abs. 3, § 22a Abs. 2 Satz 2, § 22g Abs. 1 und 3, § 23 Abs. 5, § 24 Abs. 4 bis 7 und § 44 Abs. 1 des Weingesetzes,</w:t>
      </w:r>
    </w:p>
    <w:p>
      <w:r>
        <w:t xml:space="preserve">7. § 54 Abs. 1 des Weingesetzes in Verbindung mit § 8 Abs. 1, § 10 Abs. 2 und 3, § 18 Abs. 12, § 21 Abs. 4, § 32c Abs. 2 und 3, § 33a Abs. 1 und § 34a Abs. 2 der Weinverordnung,</w:t>
      </w:r>
    </w:p>
    <w:p>
      <w:r>
        <w:t xml:space="preserve">8. § 54 Abs. 1 des Weingesetzes in Verbindung mit § 16, § 29 Abs. 3 und § 31 der Wein-Überwachungsverordnung,</w:t>
      </w:r>
    </w:p>
    <w:p>
      <w:r>
        <w:t xml:space="preserve">9. § 2 Abs. 1 bis 3 des Hopfengesetzes,</w:t>
      </w:r>
    </w:p>
    <w:p>
      <w:r>
        <w:t xml:space="preserve">10. § 8 Abs. 4 Halbsatz 1 des Hufbeschlaggesetzes,</w:t>
      </w:r>
    </w:p>
    <w:p>
      <w:r>
        <w:t xml:space="preserve">11. § 2 Abs. 3 Satz 1 des Öko-Landbaugesetzes,</w:t>
      </w:r>
    </w:p>
    <w:p>
      <w:r>
        <w:t xml:space="preserve">12. § 139 Abs. 2 Sätze 1 und 2 MarkenG,</w:t>
      </w:r>
    </w:p>
    <w:p>
      <w:r>
        <w:t xml:space="preserve">13. § 5 Satz 1 des Lebensmittelspezialitätengesetzes,</w:t>
      </w:r>
    </w:p>
    <w:p>
      <w:r>
        <w:t xml:space="preserve">14. a) § 4 Abs. 4 Satz 1 des Agrarzahlungen-Verpflichtungengesetzes (AgrarZahlVerpflG) in Verbindung mit § 4 Abs. 1 Satz 1 AgrarZahlVerpflG in Verbindung mit § 5 Abs. 6 Satz 6, § 6 Abs. 1 Satz 2, Abs. 6 und § 8 Abs. 4 der Agrarzahlungen-Verpflichtungenverordnung,</w:t>
      </w:r>
    </w:p>
    <w:p>
      <w:r>
        <w:t xml:space="preserve">b) § 6 Abs. 5 in Verbindung mit § 6 Abs. 1 des Marktorganisationsgesetzes in Verbindung mit § 17 Abs. 3 bis 5 der GAP-Direktzahlungen-Verordnung,</w:t>
      </w:r>
    </w:p>
    <w:p>
      <w:r>
        <w:t xml:space="preserve">c) § 26 Abs. 4 Satz 1 in Verbindung mit § 26 Abs. 1 des GAP-Konditionalitäten-Gesetzes (GAPKondG) in Verbindung mit § 11 Abs. 1 und 4, § 15 Abs. 2 Satz 2, § 16 Abs. 1 Satz 2 und Abs. 5, § 19 Abs. 4 Satz 1 und 2 der GAP-Konditionalitäten-Verordnung (GAPKondV),</w:t>
      </w:r>
    </w:p>
    <w:p>
      <w:r>
        <w:t xml:space="preserve">d) § 17 Abs. 3 Satz 1 des GAP-Integriertes Verwaltungs- und Kontrollsystem-Gesetzes in Verbindung mit § 3 Abs. 3 Satz 2 und Abs. 4, § 5 Abs. 1 Satz 1, § 6 Satz 2, § 21 Abs. 2 der GAPInVeKoS-Verordnung (GAPInVeKoSV),</w:t>
      </w:r>
    </w:p>
    <w:p>
      <w:r>
        <w:t xml:space="preserve">15. § 7 Abs. 4 Satz 1 des Forstvermehrungsgutgesetzes sowie des Art. 1 Abs. 2 Satz 1 des Zuständigkeitsgesetzes für den Bereich des Forstvermehrungsgutrechts,</w:t>
      </w:r>
    </w:p>
    <w:p>
      <w:r>
        <w:t xml:space="preserve">16. § 5 Abs. 6 Satz 1 des Agrarorganisationen-und-Lieferketten-Gesetzes (AgrarOLkG),</w:t>
      </w:r>
    </w:p>
    <w:p>
      <w:r>
        <w:t xml:space="preserve">17. § 4 Abs. 2 Satz 1 Nr. 2 AgrarOLkG in Verbindung mit § 3 Abs. 4 der Obst-Gemüse-Erzeugerorganisationendurchführungsverordnung,</w:t>
      </w:r>
    </w:p>
    <w:p>
      <w:r>
        <w:t xml:space="preserve">18. § 4 Abs. 2 Satz 1 Nr. 1 AgrarOLkG in Verbindung mit § 1 Abs. 3 Satz 2 der Agrarorganisationen-und-Lieferketten-Verordnung,</w:t>
      </w:r>
    </w:p>
    <w:p>
      <w:r>
        <w:t xml:space="preserve">19. § 47 Abs. 4 Satz 1 und Abs. 5 Satz 1, § 54 Abs. 1 Satz 2 sowie § 59 Satz 2 BBiG, soweit das Staatsministerium für Ernährung, Landwirtschaft, Forsten und Tourismus für die Berufsausbildung gemäß Art. 1 Abs. 1 AGBBiG zuständig ist,</w:t>
      </w:r>
    </w:p>
    <w:p>
      <w:r>
        <w:t xml:space="preserve">20. Art. 1 Abs. 2 Satz 1 des Zuständigkeitsgesetzes für den Bereich des Pflanzenschutzrechts, des Pflanzengesundheitsrechts, des Marktordnungsrechts, des Düngerechts und des Tierzuchtrechts,</w:t>
      </w:r>
    </w:p>
    <w:p>
      <w:r>
        <w:t xml:space="preserve">werden auf das Staatsministerium für Ernährung, Landwirtschaft, Forsten und Tourismus übertragen.</w:t>
      </w:r>
    </w:p>
    <w:p>
      <w:r>
        <w:rPr>
          <w:color w:val="555555"/>
          <w:sz w:val="17"/>
        </w:rPr>
        <w:t xml:space="preserve">Zitiervorschlag: § 6 DelV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https://recht.nulegal.eu/gesetze/DelV/6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