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DelV (Bayern) — Staatsministerium der Finanzen und für Heimat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a) § 19 Abs. 5 Satz 1, § 88b Abs. 3 Satz 1, § 387 Abs. 2 Satz 1 und 2 AO,</w:t>
      </w:r>
    </w:p>
    <w:p>
      <w:r>
        <w:t xml:space="preserve">b) § 409 Satz 2 AO in Verbindung mit § 387 Abs. 2 Satz 1 und 2 AO,</w:t>
      </w:r>
    </w:p>
    <w:p>
      <w:r>
        <w:t xml:space="preserve">2. § 52a Abs. 1 Satz 1 und § 52b Abs. 1 Satz 2 der Finanzgerichtsordnung,</w:t>
      </w:r>
    </w:p>
    <w:p>
      <w:r>
        <w:t xml:space="preserve">3. § 2 Abs. 2 Satz 1, Abs. 3 Satz 1, § 8a Abs. 3 Satz 1 und 2, § 17 Abs. 2 Satz 3, Abs. 3 Satz 1 des Finanzverwaltungsgesetzes,</w:t>
      </w:r>
    </w:p>
    <w:p>
      <w:r>
        <w:t xml:space="preserve">4. (aufgehoben)</w:t>
      </w:r>
    </w:p>
    <w:p>
      <w:r>
        <w:t xml:space="preserve">5. §§ 2, 4 Abs. 2, §§ 5, 5a Abs. 3 Satz 3, § 5d Abs. 2, § 6 Abs. 8 des Gemeindefinanzreformgesetzes; Rechtsverordnungen auf Grund dieser Ermächtigung ergehen im Einvernehmen mit dem Staatsministerium des Innern, für Sport und Integration,</w:t>
      </w:r>
    </w:p>
    <w:p>
      <w:r>
        <w:t xml:space="preserve">6. § 47 Abs. 4 Satz 1 und Abs. 5 Satz 1, § 54 Abs. 1 Satz 2 sowie § 59 Satz 2 BBiG, soweit das Staatsministerium der Finanzen und für Heimat für die Berufsausbildung gemäß Art. 1 Abs. 1 AGBBiG zuständig ist,</w:t>
      </w:r>
    </w:p>
    <w:p>
      <w:r>
        <w:t xml:space="preserve">7. § 15 Abs. 2 Satz 1 des Einführungsgesetzes zur Strafprozeßordnung, soweit das Staatsministerium der Finanzen und für Heimat oder Behörden in dessen Geschäftsbereich für die elektronische Aktenführung zuständig sind,</w:t>
      </w:r>
    </w:p>
    <w:p>
      <w:r>
        <w:t xml:space="preserve">8. § 110a Abs. 1a Satz 1 OWiG, soweit das Staatsministerium der Finanzen und für Heimat oder Behörden in dessen Geschäftsbereich für die elektronische Aktenführung zuständig sind,</w:t>
      </w:r>
    </w:p>
    <w:p>
      <w:r>
        <w:t xml:space="preserve">werden auf das Staatsministerium der Finanzen und für Heimat übertragen.</w:t>
      </w:r>
    </w:p>
    <w:p>
      <w:r>
        <w:rPr>
          <w:color w:val="555555"/>
          <w:sz w:val="17"/>
        </w:rPr>
        <w:t xml:space="preserve">Zitiervorschlag: § 4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