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DelV (Bayern) — Staatsministerium der Justiz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§ 391 Abs. 2 Satz 1 der Abgabenordnung (AO),</w:t>
      </w:r>
    </w:p>
    <w:p>
      <w:r>
        <w:t xml:space="preserve">2. § 99 Abs. 3 Satz 5 und § 148 Abs. 2 Satz 3 des Aktiengesetzes,</w:t>
      </w:r>
    </w:p>
    <w:p>
      <w:r>
        <w:t xml:space="preserve">3. § 22 Abs. 1 Satz 2 des Außenwirtschaftsgesetzes,</w:t>
      </w:r>
    </w:p>
    <w:p>
      <w:r>
        <w:t xml:space="preserve">4. § 219 Abs. 2 Satz 1 und § 229 Abs. 2 Satz 1 des Baugesetzbuchs,</w:t>
      </w:r>
    </w:p>
    <w:p>
      <w:r>
        <w:t xml:space="preserve">5. § 58 Abs. 3 Satz 2 des Beurkundungsgesetzes,</w:t>
      </w:r>
    </w:p>
    <w:p>
      <w:r>
        <w:t xml:space="preserve">6. § 4 Abs. 1 Satz 1 des Gesetzes über das gerichtliche Verfahren in Binnenschifffahrtssachen,</w:t>
      </w:r>
    </w:p>
    <w:p>
      <w:r>
        <w:t xml:space="preserve">7. § 55a Abs. 1 Satz 1, § 79 Abs. 5 Satz 3 , § 707d Abs. 1 Satz 1 und 2, Abs. 2 Satz 2 Halbsatz 1 sowie § 979 Abs. 1b Satz 2 Halbsatz 1 des Bürgerlichen Gesetzbuchs,</w:t>
      </w:r>
    </w:p>
    <w:p>
      <w:r>
        <w:t xml:space="preserve">8. § 208 Abs. 2 Satz 1 des Bundesentschädigungsgesetzes,</w:t>
      </w:r>
    </w:p>
    <w:p>
      <w:r>
        <w:t xml:space="preserve">9. § 6 Abs. 2 Satz 2 und 3, § 7 Abs. 5 Satz 2, § 9 Abs. 1 Satz 2, § 25 Abs. 2 Satz 1, § 65 Abs. 1 Satz 2, Abs. 2 Satz 2, § 67 Abs. 3 Nr. 3 Satz 4, § 96 Abs. 4 Satz 2, § 100 Satz 1, § 111a Satz 3, § 112 Satz 1 der Bundesnotarordnung,</w:t>
      </w:r>
    </w:p>
    <w:p>
      <w:r>
        <w:t xml:space="preserve">10. § 33 Abs. 2 Satz 2 der Bundesrechtsanwaltsordnung,</w:t>
      </w:r>
    </w:p>
    <w:p>
      <w:r>
        <w:t xml:space="preserve">11. § 41 Abs. 2 Satz 1 des Gesetzes über die Tätigkeit europäischer Rechtsanwälte in Deutschland,</w:t>
      </w:r>
    </w:p>
    <w:p>
      <w:r>
        <w:t xml:space="preserve">12. § 14 Abs. 1 Satz 3 und Abs. 4a Satz 1, § 107 Abs. 3 Satz 1, § 167b Abs. 3 Satz 1, § 260 Abs. 1 Satz 1, § 292 Abs. 6 Satz 1, § 376 Abs. 2 Satz 1 und § 387 Abs. 1 Satz 1 des Gesetzes über das Verfahren in Familiensachen und in den Angelegenheiten der freiwilligen Gerichtsbarkeit,</w:t>
      </w:r>
    </w:p>
    <w:p>
      <w:r>
        <w:t xml:space="preserve">13. § 27 Abs. 2 Satz 1 des Gebrauchsmustergesetzes (GebrMG),</w:t>
      </w:r>
    </w:p>
    <w:p>
      <w:r>
        <w:t xml:space="preserve">14. § 2 Abs. 2 Satz 1 des Gerichtsdolmetschergesetzes</w:t>
      </w:r>
    </w:p>
    <w:p>
      <w:r>
        <w:t xml:space="preserve">15. § 13a Abs. 1 Satz 1, § 22c Abs. 1 Satz 1, § 23d Satz 1, § 58 Abs. 1 Satz 1, § 71 Abs. 4 Satz 1, § 74c Abs. 3 Satz 1, § 74d Satz 1, § 78 Abs. 1 Satz 1, § 78a Abs. 2 Satz 2, § 93 Abs. 1, § 116 Abs. 2, § 119 Abs. 3 Satz 2, § 119b Abs. 1, 3 und 4, § 121 Abs. 3 Satz 1, § 140a Abs. 3 Satz 2, § 152 Abs. 2 Satz 1, § 157 Abs. 2 Satz 1 und § 184a Abs. 1 des Gerichtsverfassungsgesetzes,</w:t>
      </w:r>
    </w:p>
    <w:p>
      <w:r>
        <w:t xml:space="preserve">16. § 15 Abs. 3 Satz 1 des Gesetzes zum Schutz von Geschäftsgeheimnissen,</w:t>
      </w:r>
    </w:p>
    <w:p>
      <w:r>
        <w:t xml:space="preserve">17. § 52 Abs. 2 Satz 1 und § 63 Abs. 2 Satz 1 des Designgesetzes,</w:t>
      </w:r>
    </w:p>
    <w:p>
      <w:r>
        <w:t xml:space="preserve">18. § 1 Abs. 3 Satz 1, § 7 Abs. 3 Sätze 1 und 2, § 81 Abs. 4 Sätze 1 und 2, § 126 Abs. 1 Satz 1, § 127 Abs. 1, § 135 Abs. 1 Satz 2 und Abs. 2 Satz 2, § 140 Abs. 1 Satz 3 und § 148 Abs. 2 Satz 4 Halbsatz 1 der Grundbuchordnung,</w:t>
      </w:r>
    </w:p>
    <w:p>
      <w:r>
        <w:t xml:space="preserve">19. § 63 Satz 3 Halbsatz 1,§ 74 Abs. 1 Satz 3, § 93 Satz 1, § 96 Abs. 3 Satz 3 und § 101 Satz 1 der Grundbuchverfügung,</w:t>
      </w:r>
    </w:p>
    <w:p>
      <w:r>
        <w:t xml:space="preserve">20. § 11 Abs. 2 des Halbleiterschutzgesetzes in Verbindung mit § 27 Abs. 2 Satz 1 GebrMG,</w:t>
      </w:r>
    </w:p>
    <w:p>
      <w:r>
        <w:t xml:space="preserve">21. § 8a Abs. 2 Sätze 1 und 2 und § 9 Abs. 1 Satz 3 Halbsatz 1 des Handelsgesetzbuchs,</w:t>
      </w:r>
    </w:p>
    <w:p>
      <w:r>
        <w:t xml:space="preserve">22. § 2 Abs. 2 Satz 1 sowie § 5 Abs. 4 Satz 2 und 3 der Insolvenzordnung,</w:t>
      </w:r>
    </w:p>
    <w:p>
      <w:r>
        <w:t xml:space="preserve">23. § 33 Abs. 3 Satz 1 des Jugendgerichtsgesetzes,</w:t>
      </w:r>
    </w:p>
    <w:p>
      <w:r>
        <w:t xml:space="preserve">24. § 1 Abs. 6 Satz 1 und § 2 Abs. 1 Satz 2 des Justizbeitreibungsgesetzes,</w:t>
      </w:r>
    </w:p>
    <w:p>
      <w:r>
        <w:t xml:space="preserve">25. § 7 Abs. 6 Satz 1 des Kapitalanleger-Musterverfahrensgesetzes,</w:t>
      </w:r>
    </w:p>
    <w:p>
      <w:r>
        <w:t xml:space="preserve">26. § 8 Sätze 1 und 2 des Gesetzes über das gerichtliche Verfahren in Landwirtschaftssachen,</w:t>
      </w:r>
    </w:p>
    <w:p>
      <w:r>
        <w:t xml:space="preserve">27. § 122 Abs. 3 Satz 1 und § 140 Abs. 2 Satz 1 des Markengesetzes (MarkenG),</w:t>
      </w:r>
    </w:p>
    <w:p>
      <w:r>
        <w:t xml:space="preserve">28. § 38 Abs. 1 Satz 2 des Marktorganisationsgesetzes,</w:t>
      </w:r>
    </w:p>
    <w:p>
      <w:r>
        <w:t xml:space="preserve">29. § 9 Abs. 2 Satz 1 des Gesetzes zum Schutz des olympischen Emblems und der olympischen Bezeichnungen,</w:t>
      </w:r>
    </w:p>
    <w:p>
      <w:r>
        <w:t xml:space="preserve">30. § 68 Abs. 3 Satz 1 des Gesetzes über Ordnungswidrigkeiten (OWiG) und, soweit die elektronische Aktenführung bei Gerichten und Staatsanwaltschaften betroffen ist, § 110a Abs. 1a Satz 1 sowie Abs. 2 Satz 1 OWiG,</w:t>
      </w:r>
    </w:p>
    <w:p>
      <w:r>
        <w:t xml:space="preserve">31. § 87 Abs. 2 Satz 1 der Patentanwaltsordnung,</w:t>
      </w:r>
    </w:p>
    <w:p>
      <w:r>
        <w:t xml:space="preserve">32. § 143 Abs. 2 Satz 1 des Patentgesetzes,</w:t>
      </w:r>
    </w:p>
    <w:p>
      <w:r>
        <w:t xml:space="preserve">33. (aufgehoben)</w:t>
      </w:r>
    </w:p>
    <w:p>
      <w:r>
        <w:t xml:space="preserve">34. § 19 Abs. 1 Satz 1 Nrn. 1 bis 5 und § 36b Abs. 1 Satz 1 des Rechtspflegergesetzes,</w:t>
      </w:r>
    </w:p>
    <w:p>
      <w:r>
        <w:t xml:space="preserve">35. § 1 Abs. 2 Satz 1, § 2 Abs. 3 Satz 1 und § 89 Abs. 4 Sätze 1 und 2 der Schiffsregisterordnung,</w:t>
      </w:r>
    </w:p>
    <w:p>
      <w:r>
        <w:t xml:space="preserve">36. § 38 Abs. 2 Satz 1 des Sortenschutzgesetzes,</w:t>
      </w:r>
    </w:p>
    <w:p>
      <w:r>
        <w:t xml:space="preserve">37. § 12 Abs. 2 Satz 1 des Spruchverfahrensgesetzes,</w:t>
      </w:r>
    </w:p>
    <w:p>
      <w:r>
        <w:t xml:space="preserve">38. § 99 Abs. 6 Satz 1 des Steuerberatungsgesetzes,</w:t>
      </w:r>
    </w:p>
    <w:p>
      <w:r>
        <w:t xml:space="preserve">39. § 32 Abs. 2 Satz 1 der Strafprozessordnung,</w:t>
      </w:r>
    </w:p>
    <w:p>
      <w:r>
        <w:t xml:space="preserve">40. § 77b Abs. 1 und 2 des Gesetzes über die internationale Rechtshilfe in Strafsachen,</w:t>
      </w:r>
    </w:p>
    <w:p>
      <w:r>
        <w:t xml:space="preserve">41. § 10 Abs. 5 Satz 1 des Umwandlungsgesetzes,</w:t>
      </w:r>
    </w:p>
    <w:p>
      <w:r>
        <w:t xml:space="preserve">42. § 14 Abs. 3 Satz 1 des Gesetzes gegen den unlauteren Wettbewerb,</w:t>
      </w:r>
    </w:p>
    <w:p>
      <w:r>
        <w:t xml:space="preserve">43. § 105 Abs. 1 und 2 des Urheberrechtsgesetzes,</w:t>
      </w:r>
    </w:p>
    <w:p>
      <w:r>
        <w:t xml:space="preserve">44. § 3 Abs. 3 Satz 1 des Verbraucherrechtedurchsetzungsgesetzes,</w:t>
      </w:r>
    </w:p>
    <w:p>
      <w:r>
        <w:t xml:space="preserve">45. § 37 Satz 1 des Wertpapierbereinigungsschlußgesetzes,</w:t>
      </w:r>
    </w:p>
    <w:p>
      <w:r>
        <w:t xml:space="preserve">46. § 66 Abs. 3 Sätze 1 und 2 des Wertpapiererwerbs- und Übernahmegesetzes,</w:t>
      </w:r>
    </w:p>
    <w:p>
      <w:r>
        <w:t xml:space="preserve">47. § 89 Abs. 1 Satz 1, § 92 Abs. 1 Satz 1 sowie § 171 Abs. 4 Satz 1 des Gesetzes gegen Wettbewerbsbeschränkungen,</w:t>
      </w:r>
    </w:p>
    <w:p>
      <w:r>
        <w:t xml:space="preserve">48. § 13 Abs. 1 Satz 2 des Wirtschaftsstrafgesetzes 1954,</w:t>
      </w:r>
    </w:p>
    <w:p>
      <w:r>
        <w:t xml:space="preserve">49. § 32b Abs. 2 Satz 1, § 298a Abs. 1 Satz 2, § 689 Abs. 3 Satz 1, § 703c Abs. 3 Halbsatz 1, § 802k Abs. 3 Satz 1, § 814 Abs. 3 Satz 1, § 1062 Abs. 5 Satz 1 Halbsatz 1, § 1104a Satz 1 sowie § 1123 Abs. 1 Satz 1 und 2 sowie Abs. 2 Satz 1 der Zivilprozessordnung,</w:t>
      </w:r>
    </w:p>
    <w:p>
      <w:r>
        <w:t xml:space="preserve">50. § 1 Abs. 2 Satz 1 des Gesetzes über die Zwangsversteigerung und die Zwangsverwaltung,</w:t>
      </w:r>
    </w:p>
    <w:p>
      <w:r>
        <w:t xml:space="preserve">51. § 47 Abs. 4 Satz 1 und Abs. 5 Satz 1, § 54 Abs. 1 Satz 2 sowie § 59 Satz 2 BBiG, soweit das Staatsministerium der Justiz für die Berufsausbildung gemäß Art. 1 Abs. 1 AGBBiG zuständig ist,</w:t>
      </w:r>
    </w:p>
    <w:p>
      <w:r>
        <w:t xml:space="preserve">52. § 110a Abs. 1a Satz 1 und Abs. 2 Satz 1 des Strafvollzugsgesetzes,</w:t>
      </w:r>
    </w:p>
    <w:p>
      <w:r>
        <w:t xml:space="preserve">53. § 15 Abs. 2 Satz 1 des Einführungsgesetzes zur Strafprozeßordnung, soweit die Aktenführung bei Gerichten und Staatsanwaltschaften betroffen ist,</w:t>
      </w:r>
    </w:p>
    <w:p>
      <w:r>
        <w:t xml:space="preserve">54. § 43 Abs. 2 Satz 1 des Gesetzes, betreffend die Einführung der Zivilprozeßordnung,</w:t>
      </w:r>
    </w:p>
    <w:p>
      <w:r>
        <w:t xml:space="preserve">werden auf das Staatsministerium der Justiz übertragen.</w:t>
      </w:r>
    </w:p>
    <w:p>
      <w:r>
        <w:rPr>
          <w:color w:val="555555"/>
          <w:sz w:val="17"/>
        </w:rPr>
        <w:t xml:space="preserve">Zitiervorschlag: § 3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