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DelV (Bayern) — Staatsministerium für Wohnen, Bau und Verkehr</w:t>
      </w:r>
    </w:p>
    <w:p>
      <w:r>
        <w:rPr>
          <w:color w:val="555555"/>
          <w:sz w:val="18"/>
        </w:rPr>
        <w:t xml:space="preserve">Delegationsverordnung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Ermächtigungen nach</w:t>
      </w:r>
    </w:p>
    <w:p>
      <w:r>
        <w:t xml:space="preserve">1. § 8 Abs. 3 Satz 4 des Bundesfernstraßengesetzes (FStrG),</w:t>
      </w:r>
    </w:p>
    <w:p>
      <w:r>
        <w:t xml:space="preserve">2. § 27 Abs. 3 Satz 1 des Berufskraftfahrerqualifikationsgesetzes,</w:t>
      </w:r>
    </w:p>
    <w:p>
      <w:r>
        <w:t xml:space="preserve">3. § 70 Abs. 5 Satz 1 der Straßenverkehrs-Zulassungs-Ordnung,</w:t>
      </w:r>
    </w:p>
    <w:p>
      <w:r>
        <w:t xml:space="preserve">4. § 45a Abs. 2 Satz 2 des Personenbeförderungsgesetzes (PBefG),</w:t>
      </w:r>
    </w:p>
    <w:p>
      <w:r>
        <w:t xml:space="preserve">5. Art. 80a Satz 1 und 2 der Bayerischen Bauordnung (BayBO) nur hinsichtlich der Festlegung des örtlichen Anwendungsbereichs von Abweichungen,</w:t>
      </w:r>
    </w:p>
    <w:p>
      <w:r>
        <w:t xml:space="preserve">6. Art. 7 Abs. 3 Satz 1 und 2 des Bayerischen Abgrabungsgesetzes (BayAbgrG) nur hinsichtlich der Festlegung des örtlichen Anwendungsbereichs von Abweichungen,</w:t>
      </w:r>
    </w:p>
    <w:p>
      <w:r>
        <w:t xml:space="preserve">7. § 26 Abs. 5 Satz 3 Halbsatz 1 des Allgemeinen Eisenbahngesetzes,</w:t>
      </w:r>
    </w:p>
    <w:p>
      <w:r>
        <w:t xml:space="preserve">8. Art. 1 Abs. 2 Satz 1 ZustG für die Bereiche</w:t>
      </w:r>
    </w:p>
    <w:p>
      <w:r>
        <w:t xml:space="preserve">a) der staatlichen Aufgaben des Bau- und Wohnungswesens,</w:t>
      </w:r>
    </w:p>
    <w:p>
      <w:r>
        <w:t xml:space="preserve">b) der Autonome-Fahrzeuge-Genehmigungs-und- Betriebs-Verordnung,</w:t>
      </w:r>
    </w:p>
    <w:p>
      <w:r>
        <w:t xml:space="preserve">c) der Straßenverkehr-Fernlenk-Verordnung (StVFernLV),</w:t>
      </w:r>
    </w:p>
    <w:p>
      <w:r>
        <w:t xml:space="preserve">d) § 1i Abs. 2 Satz 3 des Straßenverkehrsgesetzes (StVG),</w:t>
      </w:r>
    </w:p>
    <w:p>
      <w:r>
        <w:t xml:space="preserve">9. § 47 Abs. 4 Satz 1 und Abs. 5 Satz 1, § 54 Abs. 1 Satz 2 sowie § 59 Satz 2 BBiG, soweit das Staatsministerium für Wohnen, Bau und Verkehr für die Berufsausbildung gemäß Art. 1 Abs. 1 AGBBiG zuständig ist,</w:t>
      </w:r>
    </w:p>
    <w:p>
      <w:r>
        <w:t xml:space="preserve">werden auf das Staatsministerium für Wohnen, Bau und Verkehr übertragen.</w:t>
      </w:r>
    </w:p>
    <w:p>
      <w:r>
        <w:rPr>
          <w:color w:val="555555"/>
          <w:sz w:val="17"/>
        </w:rPr>
        <w:t xml:space="preserve">Zitiervorschlag: § 2 DelV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https://recht.nulegal.eu/gesetze/DelV/2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