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DelV (Bayern) — Regierungen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9a Abs. 3 Satz 1 und 7 FStrG,</w:t>
      </w:r>
    </w:p>
    <w:p>
      <w:r>
        <w:t xml:space="preserve">2. Art. 297 Abs. 1 des Einführungsgesetzes zum Strafgesetzbuch,</w:t>
      </w:r>
    </w:p>
    <w:p>
      <w:r>
        <w:t xml:space="preserve">3. § 13 Abs. 1 Satz 1 des Wassersicherstellungsgesetzes; die Ermächtigung kann von den Regierungen durch Rechtsverordnung an die Kreisverwaltungsbehörden übertragen werden,</w:t>
      </w:r>
    </w:p>
    <w:p>
      <w:r>
        <w:t xml:space="preserve">werden auf die Regierungen, jeweils für ihren örtlichen Zuständigkeitsbereich, übertragen.</w:t>
      </w:r>
    </w:p>
    <w:p>
      <w:r>
        <w:rPr>
          <w:color w:val="555555"/>
          <w:sz w:val="17"/>
        </w:rPr>
        <w:t xml:space="preserve">Zitiervorschlag: § 10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