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DelV (Bayern) — Staatsministerium des Innern, für Sport und Integration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Ermächtigungen nach</w:t>
      </w:r>
    </w:p>
    <w:p>
      <w:r>
        <w:t xml:space="preserve">1. § 74 Abs. 1 Nrn. 1, 2, 4 und 5 des Personenstandsgesetzes; Rechtsverordnungen auf Grund dieser Ermächtigung ergehen im Benehmen mit dem Staatsministerium der Justiz,</w:t>
      </w:r>
    </w:p>
    <w:p>
      <w:r>
        <w:t xml:space="preserve">2. § 1 Abs. 1 Satz 3 des Schornsteinfeger-Handwerksgesetzes,</w:t>
      </w:r>
    </w:p>
    <w:p>
      <w:r>
        <w:t xml:space="preserve">3. Art. 1 Abs. 2 Satz 1 des Zuständigkeitsgesetzes (ZustG) für den Bereich des Staatsangehörigkeitsrechts sowie des § 22a Abs. 2 Satz 3 des Paßgesetzes und des § 25 Abs. 2 Satz 2 des Personalausweisgesetzes,</w:t>
      </w:r>
    </w:p>
    <w:p>
      <w:r>
        <w:t xml:space="preserve">4. § 26 Abs. 2 Satz 4 und § 55b Abs. 1 Satz 2 der Verwaltungsgerichtsordnung,</w:t>
      </w:r>
    </w:p>
    <w:p>
      <w:r>
        <w:t xml:space="preserve">5. § 39 Abs. 2 Satz 1 des Versicherungsaufsichtsgesetzes, soweit das Staatsministerium des Innern, für Sport und Integration für die Versicherungsaufsicht zuständig ist,</w:t>
      </w:r>
    </w:p>
    <w:p>
      <w:r>
        <w:t xml:space="preserve">6. § 47 Abs. 4 Satz 1 und Abs. 5 Satz 1, § 54 Abs. 1 Satz 2 sowie § 59 Satz 2 des Berufsbildungsgesetzes (BBiG), soweit das Staatsministerium des Innern, für Sport und Integration für die Berufsausbildung gemäß Art. 1 Abs. 1 des Gesetzes zur Ausführung des Berufsbildungsgesetzes und des Berufsqualifikationsfeststellungsgesetzes (AGBBiG) zuständig ist,</w:t>
      </w:r>
    </w:p>
    <w:p>
      <w:r>
        <w:t xml:space="preserve">7. § 109 Abs. 3 Satz 4 des Bundespersonalvertretungsgesetzes in Verbindung mit § 20 Abs. 1 Satz 1 des Arbeitsgerichtsgesetzes,</w:t>
      </w:r>
    </w:p>
    <w:p>
      <w:r>
        <w:t xml:space="preserve">8. § 83 Abs. 3 Satz 1 des Asylgesetzes,</w:t>
      </w:r>
    </w:p>
    <w:p>
      <w:r>
        <w:t xml:space="preserve">9. § 42 Abs. 5 Satz 1 in Verbindung mit Satz 2 des Waffengesetzes,</w:t>
      </w:r>
    </w:p>
    <w:p>
      <w:r>
        <w:t xml:space="preserve">10. § 13a Satz 1 des Namensänderungsgesetzes (NamÄndG) und § 2 Abs. 3 Satz 1 der Ersten Verordnung zur Durchführung des Gesetzes über die Änderung von Familiennamen und Vornamen</w:t>
      </w:r>
    </w:p>
    <w:p>
      <w:r>
        <w:t xml:space="preserve">werden auf das Staatsministerium des Innern, für Sport und Integration übertragen.</w:t>
      </w:r>
    </w:p>
    <w:p>
      <w:r>
        <w:rPr>
          <w:color w:val="555555"/>
          <w:sz w:val="17"/>
        </w:rPr>
        <w:t xml:space="preserve">Zitiervorschlag: § 1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