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DeckRegV</w:t>
      </w:r>
    </w:p>
    <w:p>
      <w:r>
        <w:rPr>
          <w:color w:val="555555"/>
          <w:sz w:val="18"/>
        </w:rPr>
        <w:t xml:space="preserve">Deckungsregisterverordnung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 Abs. 3 des Pfandbriefgesetzes vom 22. Mai 2005 (BGBl. I S. 1373) in Verbindung mit § 1 Nr. 4 der Verordnung zur Übertragung von Befugnissen zum Erlass von Rechtsverordnungen auf die Bundesanstalt für Finanzdienstleistungsaufsicht vom 13. Dezember 2002 (BGBl. 2003 I S. 3), § 1 Nr. 4 zuletzt geändert durch Artikel 7 Nr. 1 des Gesetzes vom 22. Juni 2005 (BGBl. I S. 1698), verordnet die Bundesanstalt für Finanzdienstleistungsaufsicht im Einvernehmen mit dem Bundesministerium der Justiz nach Anhörung der Spitzenverbände der Kreditwirtschaft:</w:t>
      </w:r>
    </w:p>
    <w:p>
      <w:r>
        <w:rPr>
          <w:color w:val="555555"/>
          <w:sz w:val="17"/>
        </w:rPr>
        <w:t xml:space="preserve">Zitiervorschlag: Eingangsformel DeckRegV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https://recht.nulegal.eu/gesetze/DeckRegV/eingangsformel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