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DeckRegV — Allgemeine Anforderungen</w:t>
      </w:r>
    </w:p>
    <w:p>
      <w:r>
        <w:rPr>
          <w:color w:val="555555"/>
          <w:sz w:val="18"/>
        </w:rPr>
        <w:t xml:space="preserve">Deckungsregisterverordnung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sicherzustellen, dass Deckungswerte erst eingetragen werden, wenn sämtliche Voraussetzungen für deren Indeckungnahme vorliegen. Rückdatierte Eintragungen sind nicht zulässig.</w:t>
      </w:r>
    </w:p>
    <w:p>
      <w:r>
        <w:t xml:space="preserve">(2) Jeder Deckungswert ist mit einer innerhalb des Deckungsregisters fortlaufenden Nummer einzutragen. Die Nummer darf nach Löschung des Deckungswerts nicht erneut vergeben werden.</w:t>
      </w:r>
    </w:p>
    <w:p>
      <w:r>
        <w:t xml:space="preserve">(3) Eine Spalte der Haupt- und Unterregister ist jeweils für solche Bemerkungen vorzusehen, die zur eindeutigen rechtlichen Zuordnung des Deckungswerts neben den übrigen Angaben erforderlich sind oder die Zuordnung erheblich erleichtern können.</w:t>
      </w:r>
    </w:p>
    <w:p>
      <w:r>
        <w:rPr>
          <w:color w:val="555555"/>
          <w:sz w:val="17"/>
        </w:rPr>
        <w:t xml:space="preserve">Zitiervorschlag: § 8 DeckRegV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https://recht.nulegal.eu/gesetze/DeckRegV/8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