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DeckRegV — Allgemeine Anforderungen</w:t>
      </w:r>
    </w:p>
    <w:p>
      <w:r>
        <w:rPr>
          <w:color w:val="555555"/>
          <w:sz w:val="18"/>
        </w:rPr>
        <w:t xml:space="preserve">Deckungsregisterverordnung</w:t>
      </w:r>
    </w:p>
    <w:p>
      <w:r>
        <w:rPr>
          <w:color w:val="555555"/>
          <w:sz w:val="18"/>
        </w:rPr>
        <w:t xml:space="preserve">Stand: 12.10.2022 (konsolidierte Textfassung, kein amtliches Inkrafttretensdatum)</w:t>
      </w:r>
    </w:p>
    <w:p>
      <w:r>
        <w:t xml:space="preserve">(1) Der Inhalt eines elektronisch geführten Deckungsregisters muss auf Dauer unverändert in lesbarer Form wiedergabefähig sowie auf Dauer revisionssicher archiviert sein. § 5 Absatz 2 Satz 3 gilt entsprechend.</w:t>
      </w:r>
    </w:p>
    <w:p>
      <w:r>
        <w:t xml:space="preserve">(2) Der Inhalt des elektronischen Deckungsregisters muss auf dem Bildschirm und in Ausdrucken in einer Weise sichtbar gemacht werden können, die die Eintragungen nach Form und Inhalt vollständig abbildet. Das elektronische Deckungsregister muss jederzeit vollständig ausgedruckt werden können.</w:t>
      </w:r>
    </w:p>
    <w:p>
      <w:r>
        <w:rPr>
          <w:color w:val="555555"/>
          <w:sz w:val="17"/>
        </w:rPr>
        <w:t xml:space="preserve">Zitiervorschlag: § 6 DeckRegV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https://recht.nulegal.eu/gesetze/DeckRegV/6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