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DeckRegV — Form der Deckungsregister; Eintragungen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12.10.2022 (konsolidierte Textfassung, kein amtliches Inkrafttretensdatum)</w:t>
      </w:r>
    </w:p>
    <w:p>
      <w:r>
        <w:t xml:space="preserve">(1) Das Deckungsregister für eine Pfandbriefgattung kann nach Maßgabe des Teils 3 in Papierform oder nach dauerhafter Wahl der Pfandbriefbank als elektronisches Register geführt werden.</w:t>
      </w:r>
    </w:p>
    <w:p>
      <w:r>
        <w:t xml:space="preserve">(2) Eintragungen dürfen nur durch von der Pfandbriefbank besonders ermächtigte Personen vorgenommen werden; die Ermächtigung und etwaige Veränderungen sind zu dokumentieren. Die Dokumentation ist für jede Person mindestens fünf Jahre nach Widerruf der Ermächtigung aufzubewahren.</w:t>
      </w:r>
    </w:p>
    <w:p>
      <w:r>
        <w:rPr>
          <w:color w:val="555555"/>
          <w:sz w:val="17"/>
        </w:rPr>
        <w:t xml:space="preserve">Zitiervorschlag: § 2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