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DeckRegV — Inkrafttreten</w:t>
      </w:r>
    </w:p>
    <w:p>
      <w:r>
        <w:rPr>
          <w:color w:val="555555"/>
          <w:sz w:val="18"/>
        </w:rPr>
        <w:t xml:space="preserve">Deckungsregisterverordnung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Verkündung in Kraft.</w:t>
      </w:r>
    </w:p>
    <w:p>
      <w:r>
        <w:rPr>
          <w:color w:val="555555"/>
          <w:sz w:val="17"/>
        </w:rPr>
        <w:t xml:space="preserve">Zitiervorschlag: § 19 DeckRegV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https://recht.nulegal.eu/gesetze/DeckRegV/19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