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DeckRegV — Anwendungsbereich; Begriffsbestimmungen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Diese Verordnung regelt die Anforderungen an Form und Inhalt der Deckungsregister nach § 5 Absatz 1 Satz 1 des Pfandbriefgesetzes sowie an Verfahren und Dokumentation der Zustimmung des Treuhänders nach § 5 Absatz 1 Satz 2 und § 8 Absatz 4 Satz 1 des Pfandbriefgesetzes.</w:t>
      </w:r>
    </w:p>
    <w:p>
      <w:r>
        <w:t xml:space="preserve">(2) Eintragungen im Sinne dieser Verordnung sind auch Löschungsvermerke.</w:t>
      </w:r>
    </w:p>
    <w:p>
      <w:r>
        <w:rPr>
          <w:color w:val="555555"/>
          <w:sz w:val="17"/>
        </w:rPr>
        <w:t xml:space="preserve">Zitiervorschlag: § 1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