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DeckRV 2016</w:t>
      </w:r>
    </w:p>
    <w:p>
      <w:r>
        <w:rPr>
          <w:color w:val="555555"/>
          <w:sz w:val="18"/>
        </w:rPr>
        <w:t xml:space="preserve">Deckungsrückstellungsverordnung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verordnet auf Grund</w:t>
      </w:r>
    </w:p>
    <w:p>
      <w:pPr>
        <w:ind w:left="420"/>
      </w:pPr>
      <w:r>
        <w:t xml:space="preserve">– des § 88 Absatz 3 Satz 1 und 2 in Verbindung mit Satz 4 und des § 217 Satz 1 Nummer 7 bis 10 in Verbindung mit Satz 3 und 4 des Versicherungsaufsichtsgesetzes vom 1. April 2015 (BGBl. I S. 434) im Einvernehmen mit dem Bundesministerium der Justiz und für Verbraucherschutz,</w:t>
      </w:r>
    </w:p>
    <w:p>
      <w:pPr>
        <w:ind w:left="420"/>
      </w:pPr>
      <w:r>
        <w:t xml:space="preserve">– des § 235 Absatz 1 Satz 1 Nummer 4 bis 7 in Verbindung mit Absatz 2 Satz 2 des Versicherungsaufsichtsgesetzes vom 1. April 2015 (BGBl. I S. 434):</w:t>
      </w:r>
    </w:p>
    <w:p>
      <w:r>
        <w:rPr>
          <w:color w:val="555555"/>
          <w:sz w:val="17"/>
        </w:rPr>
        <w:t xml:space="preserve">Zitiervorschlag: Eingangsformel DeckRV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