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DeckRV 2016 — Höchstzillmersätze und versicherungsmathematische Berechnungsmethode</w:t>
      </w:r>
    </w:p>
    <w:p>
      <w:r>
        <w:rPr>
          <w:color w:val="555555"/>
          <w:sz w:val="18"/>
        </w:rPr>
        <w:t xml:space="preserve">Deckungsrückstellungsverordnung</w:t>
      </w:r>
    </w:p>
    <w:p>
      <w:r>
        <w:rPr>
          <w:color w:val="555555"/>
          <w:sz w:val="18"/>
        </w:rPr>
        <w:t xml:space="preserve">Stand: 10.06.2019 (konsolidierte Textfassung, kein amtliches Inkrafttretensdatum)</w:t>
      </w:r>
    </w:p>
    <w:p>
      <w:r>
        <w:t xml:space="preserve">(1) Im Wege der Zillmerung werden die Forderungen auf Ersatz der geleisteten, einmaligen Abschlusskosten einzelvertraglich bis zur Höhe des Zillmersatzes ab Versicherungsbeginn aus den höchstmöglichen Prämienteilen gedeckt, die nach den verwendeten Berechnungsgrundsätzen in dem Zeitraum, für den die Prämie gezahlt wird, weder für Leistungen im Versicherungsfall noch zur Deckung von Kosten für den Versicherungsbetrieb bestimmt sind. Der Zillmersatz darf 25 Promille der Summe aller Prämien nicht überschreiten.</w:t>
      </w:r>
    </w:p>
    <w:p>
      <w:r>
        <w:t xml:space="preserve">(2) Die höchstmöglichen Prämienteile im Sinne von Absatz 1 werden in dem Umfang, in dem sie die geleisteten, einmaligen Abschlusskosten in Höhe des Zillmersatzes noch nicht gedeckt haben und folglich der Höhe nach mit den nach § 15 Absatz 1 der Versicherungsunternehmens-Rechnungslegungsverordnung höchstens zu aktivierenden Forderungen gegenüber den Versicherungsnehmern übereinstimmen, von dem bei der Berechnung der einzelvertraglichen Deckungsrückstellung anzusetzenden Barwert der künftigen Prämien abgezogen.</w:t>
      </w:r>
    </w:p>
    <w:p>
      <w:r>
        <w:t xml:space="preserve">(3) Für Lebensversicherungsverträge, bei denen aufgrund gesetzlich vorgeschriebener Rückkaufswerte gegenüber der nach § 341f des Handelsgesetzbuchs berechneten Deckungsrückstellung eine nach § 25 Absatz 2 der Versicherungsunternehmens-Rechnungslegungsverordnung erhöhte Deckungsrückstellung zu stellen ist, gelten als höchstmögliche Prämienteile gemäß Absatz 1 die Prämienteile, die</w:t>
      </w:r>
    </w:p>
    <w:p>
      <w:pPr>
        <w:ind w:left="420"/>
      </w:pPr>
      <w:r>
        <w:t xml:space="preserve">1. nicht zur Bildung der erhöhten Deckungsrückstellung benötigt werden und</w:t>
      </w:r>
    </w:p>
    <w:p>
      <w:pPr>
        <w:ind w:left="420"/>
      </w:pPr>
      <w:r>
        <w:t xml:space="preserve">2. nach den verwendeten Berechnungsgrundsätzen in dem Zeitraum, für den die Prämie gezahlt wird, weder für Leistungen im Versicherungsfall noch zur Deckung von Kosten für den Versicherungsbetrieb bestimmt sind.</w:t>
      </w:r>
    </w:p>
    <w:p>
      <w:r>
        <w:t xml:space="preserve">Für Unfallversicherungen der in § 161 des Versicherungsaufsichtsgesetzes genannten Art gilt Satz 1 entsprechend, soweit in Anlehnung an die für die Lebensversicherung gesetzlich vorgeschriebenen Regelungen erhöhte Rückkaufswerte vertraglich garantiert werden.</w:t>
      </w:r>
    </w:p>
    <w:p>
      <w:r>
        <w:t xml:space="preserve">(4) Der von einem Versicherungsunternehmen zum Zeitpunkt des Vertragsabschlusses verwendete Zillmersatz für die Berechnung der Deckungsrückstellung gilt für die gesamte Laufzeit des Vertrages.</w:t>
      </w:r>
    </w:p>
    <w:p>
      <w:r>
        <w:rPr>
          <w:color w:val="555555"/>
          <w:sz w:val="17"/>
        </w:rPr>
        <w:t xml:space="preserve">Zitiervorschlag: § 4 DeckRV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https://recht.nulegal.eu/gesetze/DeckRV%202016/4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