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DeckRV 2016 — Geltungsbereich</w:t>
      </w:r>
    </w:p>
    <w:p>
      <w:r>
        <w:rPr>
          <w:color w:val="555555"/>
          <w:sz w:val="18"/>
        </w:rPr>
        <w:t xml:space="preserve">Deckungsrückstellungsverordnung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Lebensversicherungsunternehmen einschließlich der Pensionskassen, mit Ausnahme der Sterbekassen,</w:t>
      </w:r>
    </w:p>
    <w:p>
      <w:pPr>
        <w:ind w:left="420"/>
      </w:pPr>
      <w:r>
        <w:t xml:space="preserve">2. Unfallversicherungsunternehmen, die Versicherungen mit Rückgewähr der Prämien betreiben, und</w:t>
      </w:r>
    </w:p>
    <w:p>
      <w:pPr>
        <w:ind w:left="420"/>
      </w:pPr>
      <w:r>
        <w:t xml:space="preserve">3. Versicherungsunternehmen, die Rentenleistungen der Allgemeinen Haftpflichtversicherung, der Kraftfahrzeug-Haftpflichtversicherung, der Kraftfahrt-Unfallversicherung sowie der Allgemeinen Unfallversicherung erbringen.</w:t>
      </w:r>
    </w:p>
    <w:p>
      <w:r>
        <w:t xml:space="preserve">(2) Diese Verordnung gilt für Verträge, denen keine aufsichtsbehördlich genehmigten Tarife zugrunde liegen.</w:t>
      </w:r>
    </w:p>
    <w:p>
      <w:r>
        <w:rPr>
          <w:color w:val="555555"/>
          <w:sz w:val="17"/>
        </w:rPr>
        <w:t xml:space="preserve">Zitiervorschlag: § 1 DeckRV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https://recht.nulegal.eu/gesetze/DeckRV%202016/1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