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De-Mail-KostV — Inkrafttreten</w:t>
      </w:r>
    </w:p>
    <w:p>
      <w:r>
        <w:rPr>
          <w:color w:val="555555"/>
          <w:sz w:val="18"/>
        </w:rPr>
        <w:t xml:space="preserve">De-Mail-Kostenverordnung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Diese Verordnung tritt mit Wirkung vom 14. November 2011 in Kraft.</w:t>
      </w:r>
    </w:p>
    <w:p>
      <w:r>
        <w:rPr>
          <w:color w:val="555555"/>
          <w:sz w:val="17"/>
        </w:rPr>
        <w:t xml:space="preserve">Zitiervorschlag: § 2 De-Mail-KostV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https://recht.nulegal.eu/gesetze/De-Mail-KostV/2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