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De-Mail-G — Bußgeldvorschriften</w:t>
      </w:r>
    </w:p>
    <w:p>
      <w:r>
        <w:rPr>
          <w:color w:val="555555"/>
          <w:sz w:val="18"/>
        </w:rPr>
        <w:t xml:space="preserve">De-Mail-Gesetz</w:t>
      </w:r>
    </w:p>
    <w:p>
      <w:r>
        <w:rPr>
          <w:color w:val="555555"/>
          <w:sz w:val="18"/>
        </w:rPr>
        <w:t xml:space="preserve">Stand: 02.12.2019 (konsolidierte Textfassung, kein amtliches Inkrafttretensdatum)</w:t>
      </w:r>
    </w:p>
    <w:p>
      <w:r>
        <w:t xml:space="preserve">(1) Ordnungswidrig handelt, wer vorsätzlich oder fahrlässig</w:t>
      </w:r>
    </w:p>
    <w:p>
      <w:pPr>
        <w:ind w:left="420"/>
      </w:pPr>
      <w:r>
        <w:t xml:space="preserve">1. entgegen § 3 Absatz 1 Satz 3 nicht sicherstellt, dass nur der Nutzer Zugang erlangen kann,</w:t>
      </w:r>
    </w:p>
    <w:p>
      <w:pPr>
        <w:ind w:left="420"/>
      </w:pPr>
      <w:r>
        <w:t xml:space="preserve">2. entgegen § 3 Absatz 3 Satz 1 Nummer 1 erster Halbsatz oder Nummer 2 eine dort genannte Angabe nicht oder nicht rechtzeitig überprüft,</w:t>
      </w:r>
    </w:p>
    <w:p>
      <w:pPr>
        <w:ind w:left="420"/>
      </w:pPr>
      <w:r>
        <w:t xml:space="preserve">3. entgegen § 4 Absatz 1 Satz 2 nicht sicherstellt, dass eine sichere Anmeldung nur in den dort genannten Fällen erfolgt,</w:t>
      </w:r>
    </w:p>
    <w:p>
      <w:pPr>
        <w:ind w:left="420"/>
      </w:pPr>
      <w:r>
        <w:t xml:space="preserve">4. entgegen § 4 Absatz 3 nicht sicherstellt, dass eine Kommunikationsverbindung verschlüsselt erfolgt,</w:t>
      </w:r>
    </w:p>
    <w:p>
      <w:pPr>
        <w:ind w:left="420"/>
      </w:pPr>
      <w:r>
        <w:t xml:space="preserve">5. entgegen § 7 Absatz 2 Satz 1 Nummer 2 oder 4 dort genannte Daten nicht oder nicht rechtzeitig löscht,</w:t>
      </w:r>
    </w:p>
    <w:p>
      <w:pPr>
        <w:ind w:left="420"/>
      </w:pPr>
      <w:r>
        <w:t xml:space="preserve">6. entgegen § 10 Absatz 1 Satz 1 oder Absatz 4 Satz 1 Nummer 2 den Zugang zu einem De-Mail-Konto nicht oder nicht rechtzeitig sperrt oder das De-Mail-Konto nicht oder nicht rechtzeitig auflöst,</w:t>
      </w:r>
    </w:p>
    <w:p>
      <w:pPr>
        <w:ind w:left="420"/>
      </w:pPr>
      <w:r>
        <w:t xml:space="preserve">7. entgegen § 11 Absatz 1 Satz 1 eine Anzeige nicht, nicht richtig oder nicht rechtzeitig erstattet,</w:t>
      </w:r>
    </w:p>
    <w:p>
      <w:pPr>
        <w:ind w:left="420"/>
      </w:pPr>
      <w:r>
        <w:t xml:space="preserve">8. entgegen § 11 Absatz 1 Satz 3 einen Nutzer nicht, nicht richtig oder nicht rechtzeitig benachrichtigt,</w:t>
      </w:r>
    </w:p>
    <w:p>
      <w:pPr>
        <w:ind w:left="420"/>
      </w:pPr>
      <w:r>
        <w:t xml:space="preserve">9. entgegen § 11 Absatz 2 nicht sicherstellt, dass die dort genannten Daten abrufbar bleiben,</w:t>
      </w:r>
    </w:p>
    <w:p>
      <w:pPr>
        <w:ind w:left="420"/>
      </w:pPr>
      <w:r>
        <w:t xml:space="preserve">10. entgegen § 12 den Zugriff auf dort genannte Daten nicht ermöglicht oder einen Hinweis nicht, nicht richtig oder nicht rechtzeitig gibt,</w:t>
      </w:r>
    </w:p>
    <w:p>
      <w:pPr>
        <w:ind w:left="420"/>
      </w:pPr>
      <w:r>
        <w:t xml:space="preserve">11. entgegen § 13 Absatz 1 eine Dokumentation nicht oder nicht richtig erstellt,</w:t>
      </w:r>
    </w:p>
    <w:p>
      <w:pPr>
        <w:ind w:left="420"/>
      </w:pPr>
      <w:r>
        <w:t xml:space="preserve">12. entgegen § 13 Absatz 2 eine Dokumentation nicht oder nicht mindestens zehn Jahre aufbewahrt oder</w:t>
      </w:r>
    </w:p>
    <w:p>
      <w:pPr>
        <w:ind w:left="420"/>
      </w:pPr>
      <w:r>
        <w:t xml:space="preserve">13. entgegen § 17 Absatz 1 Satz 6 sich auf die nachgewiesene Sicherheit beruft oder das Gütezeichen führt.</w:t>
      </w:r>
    </w:p>
    <w:p>
      <w:r>
        <w:t xml:space="preserve">(2) Die Ordnungswidrigkeit kann in den Fällen des Absatzes 1 Nummer 5 und 6 mit einer Geldbuße bis zu dreihunderttausend Euro und in den übrigen Fällen mit einer Geldbuße bis zu fünfzigtausend Euro geahndet werden.</w:t>
      </w:r>
    </w:p>
    <w:p>
      <w:r>
        <w:t xml:space="preserve">(3) Verwaltungsbehörde im Sinne des § 36 Absatz 1 Nummer 1 des Gesetzes über Ordnungswidrigkeiten ist das Bundesamt für Sicherheit in der Informationstechnik.</w:t>
      </w:r>
    </w:p>
    <w:p>
      <w:r>
        <w:rPr>
          <w:color w:val="555555"/>
          <w:sz w:val="17"/>
        </w:rPr>
        <w:t xml:space="preserve">Zitiervorschlag: § 23 De-Mail-G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https://recht.nulegal.eu/gesetze/De-Mail-G/23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