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De-Mail-G — Ausschuss De-Mail-Standardisierung</w:t>
      </w:r>
    </w:p>
    <w:p>
      <w:r>
        <w:rPr>
          <w:color w:val="555555"/>
          <w:sz w:val="18"/>
        </w:rPr>
        <w:t xml:space="preserve">De-Mail-Gesetz</w:t>
      </w:r>
    </w:p>
    <w:p>
      <w:r>
        <w:rPr>
          <w:color w:val="555555"/>
          <w:sz w:val="18"/>
        </w:rPr>
        <w:t xml:space="preserve">Stand: 02.12.2019 (konsolidierte Textfassung, kein amtliches Inkrafttretensdatum)</w:t>
      </w:r>
    </w:p>
    <w:p>
      <w:r>
        <w:t xml:space="preserve">Die technischen und organisatorischen Anforderungen an die Pflichten nach den §§ 3 bis 13 sowie nach § 16 werden unter Beteiligung der akkreditierten Diensteanbieter weiterentwickelt; dies gilt nicht für Anforderungen, die das Zusammenwirken zwischen den akkreditierten Diensteanbietern als solches oder die Sicherheit betreffen. Zu diesem Zweck wird ein Ausschuss De-Mail-Standardisierung gegründet, dem mindestens alle akkreditierten Diensteanbieter, je ein Vertreter von zwei auf Bundesebene bestehenden Gesamtverbänden, deren Belange berührt sind, das Bundesamt für Sicherheit in der Informationstechnik, der oder die Bundesbeauftragte für den Datenschutz und die Informationsfreiheit, ein vom IT-Planungsrat beauftragter Vertreter der Länder sowie ein Vertreter des Rates der IT-Beauftragten der Bundesregierung angehören. Die Entscheidung, welche beiden Verbände dem Ausschuss angehören sollen, liegt im Ermessen der zuständigen Behörde. Wird der Rat der IT-Beauftragten der Bundesregierung aufgelöst, tritt an dessen Stelle die von der Bundesregierung bestimmte Nachfolgeorganisation. Der Ausschuss tagt mindestens einmal im Jahr.</w:t>
      </w:r>
    </w:p>
    <w:p>
      <w:r>
        <w:rPr>
          <w:color w:val="555555"/>
          <w:sz w:val="17"/>
        </w:rPr>
        <w:t xml:space="preserve">Zitiervorschlag: § 22 De-Mail-G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